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Materiały Informacyjne i Szczegółowe Warunki Konkursu Ofert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>Zamówienia na Świadczenia Zdrowotne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cstheme="minorHAnsi" w:ascii="Calibri" w:hAnsi="Calibri"/>
          <w:b/>
          <w:smallCaps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dla  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cstheme="minorHAnsi" w:ascii="Calibri" w:hAnsi="Calibri"/>
          <w:b/>
          <w:smallCaps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SZPITALA SPECJALISTYCZNEGO W CHORZOWIE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UL. ZJEDNOCZENIA 10, 41-500 CHORZÓW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tel. 32 346 36 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>69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PK 4/2025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242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42"/>
      </w:tblGrid>
      <w:tr>
        <w:trPr>
          <w:trHeight w:val="1815" w:hRule="atLeast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42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22"/>
                <w:szCs w:val="22"/>
              </w:rPr>
              <w:t>Ogłasza postępowanie konkursowe obejmujące zamówienie w zakresie udzielania świadczeń zdrowotnych</w:t>
            </w:r>
            <w:r>
              <w:rPr/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22"/>
                <w:szCs w:val="22"/>
              </w:rPr>
              <w:t>w Poradni Zdrowia Psychicznego przez lekarzy specjalistów psychiatrii lub lekarzy w trakcie specjalizacji z psychiatrii</w:t>
            </w:r>
            <w:r>
              <w:rPr>
                <w:rFonts w:cs="Calibri" w:ascii="Calibri" w:hAnsi="Calibri" w:asciiTheme="minorHAnsi" w:cstheme="minorHAnsi" w:hAnsiTheme="minorHAnsi"/>
                <w:b/>
                <w:smallCaps/>
                <w:color w:val="000000"/>
                <w:sz w:val="22"/>
                <w:szCs w:val="22"/>
                <w:u w:val="single"/>
              </w:rPr>
              <w:t>,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22"/>
                <w:szCs w:val="22"/>
              </w:rPr>
              <w:t>przez okres 12 miesięcy - UZUPEŁNIAJĄCE.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Podstawa prawna: Ustawa z dnia 15 kwietnia 2011 r. o działalności leczniczej z późn.zm.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Termin składania ofert:    24.01.2025r.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godzina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10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vertAlign w:val="superscript"/>
        </w:rPr>
        <w:t>00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highlight w:val="yellow"/>
          <w:vertAlign w:val="superscript"/>
        </w:rPr>
      </w:pPr>
      <w:r>
        <w:rPr>
          <w:rFonts w:cs="Calibri" w:cstheme="minorHAnsi" w:ascii="Calibri" w:hAnsi="Calibri"/>
          <w:b/>
          <w:sz w:val="22"/>
          <w:szCs w:val="22"/>
          <w:highlight w:val="yellow"/>
          <w:vertAlign w:val="superscript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Termin otwarcia ofert:      24.01.2025r.  godzina 11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vertAlign w:val="superscript"/>
        </w:rPr>
        <w:t>00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  <w:vertAlign w:val="superscript"/>
        </w:rPr>
      </w:pPr>
      <w:r>
        <w:rPr>
          <w:rFonts w:cs="Calibri" w:cstheme="minorHAnsi" w:ascii="Calibri" w:hAnsi="Calibri"/>
          <w:b/>
          <w:sz w:val="22"/>
          <w:szCs w:val="22"/>
          <w:u w:val="single"/>
          <w:vertAlign w:val="superscript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  <w:vertAlign w:val="superscript"/>
        </w:rPr>
      </w:pPr>
      <w:r>
        <w:rPr>
          <w:rFonts w:cs="Calibri" w:cstheme="minorHAnsi" w:ascii="Calibri" w:hAnsi="Calibri"/>
          <w:b/>
          <w:sz w:val="22"/>
          <w:szCs w:val="22"/>
          <w:u w:val="single"/>
          <w:vertAlign w:val="superscript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Załączniki do niniejszych Materiałów Informacyjnych: </w:t>
      </w:r>
    </w:p>
    <w:p>
      <w:pPr>
        <w:pStyle w:val="BodyText"/>
        <w:numPr>
          <w:ilvl w:val="0"/>
          <w:numId w:val="4"/>
        </w:numPr>
        <w:tabs>
          <w:tab w:val="clear" w:pos="708"/>
        </w:tabs>
        <w:ind w:hanging="360" w:left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Formularz Oferty – załącznik nr 1</w:t>
      </w:r>
    </w:p>
    <w:p>
      <w:pPr>
        <w:pStyle w:val="BodyText"/>
        <w:numPr>
          <w:ilvl w:val="0"/>
          <w:numId w:val="4"/>
        </w:numPr>
        <w:tabs>
          <w:tab w:val="clear" w:pos="708"/>
        </w:tabs>
        <w:ind w:hanging="360" w:left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Oświadczenie Oferenta – załącznik nr 2</w:t>
      </w:r>
    </w:p>
    <w:p>
      <w:pPr>
        <w:pStyle w:val="BodyText"/>
        <w:numPr>
          <w:ilvl w:val="0"/>
          <w:numId w:val="4"/>
        </w:numPr>
        <w:tabs>
          <w:tab w:val="clear" w:pos="708"/>
        </w:tabs>
        <w:ind w:hanging="360" w:left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Projekt Umowy – załącznik nr 3</w:t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b w:val="false"/>
          <w:sz w:val="22"/>
          <w:szCs w:val="22"/>
          <w:u w:val="single"/>
        </w:rPr>
      </w:pPr>
      <w:r>
        <w:rPr>
          <w:rFonts w:cs="Calibri" w:cstheme="minorHAnsi" w:ascii="Calibri" w:hAnsi="Calibri"/>
          <w:b w:val="false"/>
          <w:sz w:val="22"/>
          <w:szCs w:val="22"/>
          <w:u w:val="single"/>
        </w:rPr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b w:val="false"/>
          <w:sz w:val="22"/>
          <w:szCs w:val="22"/>
          <w:u w:val="single"/>
        </w:rPr>
      </w:pPr>
      <w:r>
        <w:rPr>
          <w:rFonts w:cs="Calibri" w:cstheme="minorHAnsi" w:ascii="Calibri" w:hAnsi="Calibri"/>
          <w:b w:val="false"/>
          <w:sz w:val="22"/>
          <w:szCs w:val="22"/>
          <w:u w:val="single"/>
        </w:rPr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I. OBOWIĄZKI OFERENTÓW I SPOSÓB PRZYGOTOWANIA OFERTY</w:t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b w:val="false"/>
          <w:bCs w:val="false"/>
          <w:sz w:val="22"/>
          <w:szCs w:val="22"/>
          <w:u w:val="single"/>
        </w:rPr>
      </w:pPr>
      <w:r>
        <w:rPr>
          <w:rFonts w:cs="Calibri" w:cstheme="minorHAnsi" w:ascii="Calibri" w:hAnsi="Calibri"/>
          <w:b w:val="false"/>
          <w:bCs w:val="false"/>
          <w:sz w:val="22"/>
          <w:szCs w:val="22"/>
          <w:u w:val="single"/>
        </w:rPr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36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Obowiązki Oferentów:</w:t>
      </w:r>
    </w:p>
    <w:p>
      <w:pPr>
        <w:pStyle w:val="Normal"/>
        <w:numPr>
          <w:ilvl w:val="0"/>
          <w:numId w:val="8"/>
        </w:numPr>
        <w:ind w:hanging="425" w:left="113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Oferenci zobowiązani są do udzielania świadczeń na zlecenie Szpitala Specjalistycznego </w:t>
        <w:br/>
        <w:t>w Chorzowie zgodnie z wymogami określonymi w Materiałach Informacyjnych do niniejszego konkursu wraz z załącznikami.</w:t>
      </w:r>
    </w:p>
    <w:p>
      <w:pPr>
        <w:pStyle w:val="Normal"/>
        <w:numPr>
          <w:ilvl w:val="0"/>
          <w:numId w:val="8"/>
        </w:numPr>
        <w:ind w:hanging="425" w:left="113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Oferenci, którzy będą realizowali świadczenia będące przedmiotem konkursu zobowiązani są do  posiadania odpowiednich kwalifikacji zawodowych, określonych </w:t>
        <w:br/>
        <w:t>w odrębnych przepisach.</w:t>
      </w:r>
    </w:p>
    <w:p>
      <w:pPr>
        <w:pStyle w:val="Normal"/>
        <w:numPr>
          <w:ilvl w:val="0"/>
          <w:numId w:val="8"/>
        </w:numPr>
        <w:ind w:hanging="425" w:left="113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postępowaniu konkursowym mogą brać udział oferenci, którzy spełniają wymogi ustawy z dnia 15 kwietnia 2011r. o działalności leczniczej w zakresie udzielania świadczeń zdrowotnych w przedsiębiorstwach podmiotu leczniczego Udzielającego Zamówienie.</w:t>
      </w:r>
    </w:p>
    <w:p>
      <w:pPr>
        <w:pStyle w:val="Normal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Oferta przygotowana na koszt oferenta, powinna być złożona w formie pisemnej, w języku polskim zawierająca:</w:t>
      </w:r>
    </w:p>
    <w:p>
      <w:pPr>
        <w:pStyle w:val="Normal"/>
        <w:ind w:left="284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1"/>
          <w:numId w:val="13"/>
        </w:numPr>
        <w:tabs>
          <w:tab w:val="clear" w:pos="708"/>
        </w:tabs>
        <w:suppressAutoHyphens w:val="false"/>
        <w:ind w:hanging="360" w:left="108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Formularz Oferty (załącznik nr 1 do Materiałów Informacyjnych), </w:t>
      </w:r>
    </w:p>
    <w:p>
      <w:pPr>
        <w:pStyle w:val="Normal"/>
        <w:ind w:left="72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1"/>
          <w:numId w:val="13"/>
        </w:numPr>
        <w:tabs>
          <w:tab w:val="clear" w:pos="708"/>
        </w:tabs>
        <w:suppressAutoHyphens w:val="false"/>
        <w:ind w:hanging="360" w:left="108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Oświadczenie Oferenta (załącznik nr 2 do Materiałów Informacyjnych), </w:t>
      </w:r>
    </w:p>
    <w:p>
      <w:pPr>
        <w:pStyle w:val="Normal"/>
        <w:ind w:left="72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1"/>
          <w:numId w:val="13"/>
        </w:numPr>
        <w:tabs>
          <w:tab w:val="clear" w:pos="708"/>
          <w:tab w:val="left" w:pos="1134" w:leader="none"/>
        </w:tabs>
        <w:suppressAutoHyphens w:val="false"/>
        <w:ind w:hanging="425" w:left="1134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Załączniki do oferty (jeśli dotyczą):</w:t>
      </w:r>
    </w:p>
    <w:p>
      <w:pPr>
        <w:pStyle w:val="Heading3"/>
        <w:numPr>
          <w:ilvl w:val="2"/>
          <w:numId w:val="25"/>
        </w:numPr>
        <w:shd w:val="clear" w:color="auto" w:fill="FFFFFF"/>
        <w:tabs>
          <w:tab w:val="clear" w:pos="708"/>
          <w:tab w:val="left" w:pos="-3060" w:leader="none"/>
          <w:tab w:val="left" w:pos="0" w:leader="none"/>
        </w:tabs>
        <w:suppressAutoHyphens w:val="false"/>
        <w:spacing w:lineRule="auto" w:line="240"/>
        <w:ind w:hanging="180" w:left="1260"/>
        <w:jc w:val="both"/>
        <w:rPr>
          <w:rFonts w:ascii="Calibri" w:hAnsi="Calibri" w:cs="Calibri" w:asciiTheme="minorHAnsi" w:cstheme="minorHAnsi" w:hAnsiTheme="minorHAnsi"/>
          <w:bCs w:val="false"/>
          <w:i w:val="false"/>
          <w:i w:val="false"/>
          <w:sz w:val="22"/>
          <w:szCs w:val="22"/>
          <w:u w:val="none"/>
        </w:rPr>
      </w:pPr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u w:val="none"/>
        </w:rPr>
        <w:t xml:space="preserve">wydruk wpisu do </w:t>
      </w:r>
      <w:r>
        <w:rPr>
          <w:rFonts w:cs="Calibri" w:ascii="Calibri" w:hAnsi="Calibri" w:asciiTheme="minorHAnsi" w:cstheme="minorHAnsi" w:hAnsiTheme="minorHAnsi"/>
          <w:bCs w:val="false"/>
          <w:i w:val="false"/>
          <w:sz w:val="22"/>
          <w:szCs w:val="22"/>
          <w:u w:val="none"/>
        </w:rPr>
        <w:t>Rejestru Podmiotów Wykonujących Działalność Leczniczą</w:t>
      </w:r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u w:val="none"/>
        </w:rPr>
        <w:t xml:space="preserve"> – ważny 6 miesięcy od daty wydruku, </w:t>
      </w:r>
    </w:p>
    <w:p>
      <w:pPr>
        <w:pStyle w:val="Normal"/>
        <w:numPr>
          <w:ilvl w:val="2"/>
          <w:numId w:val="26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wydruk wpisu do CEIDG prowadzonej przez Ministra Rozwoju i Technologii – ważny 6 miesięcy od daty wydruku, </w:t>
      </w:r>
    </w:p>
    <w:p>
      <w:pPr>
        <w:pStyle w:val="Normal"/>
        <w:numPr>
          <w:ilvl w:val="2"/>
          <w:numId w:val="27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dyplom (kopia potwierdzona za zgodność z oryginałem), </w:t>
      </w:r>
    </w:p>
    <w:p>
      <w:pPr>
        <w:pStyle w:val="Normal"/>
        <w:numPr>
          <w:ilvl w:val="2"/>
          <w:numId w:val="28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prawo wykonywania zawodu (kopia potwierdzona za zgodność z oryginałem), </w:t>
      </w:r>
    </w:p>
    <w:p>
      <w:pPr>
        <w:pStyle w:val="Normal"/>
        <w:numPr>
          <w:ilvl w:val="2"/>
          <w:numId w:val="29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posiadane specjalizacje (kopie potwierdzone za zgodność z oryginałem), a w przypadku braku specjalizacji udokumentowanie posiadania karty specjalizacji,</w:t>
      </w:r>
    </w:p>
    <w:p>
      <w:pPr>
        <w:pStyle w:val="Normal"/>
        <w:numPr>
          <w:ilvl w:val="2"/>
          <w:numId w:val="30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inne dokumenty potwierdzające kwalifikacje i umiejętności (kopie potwierdzone za zgodność z oryginałem), </w:t>
      </w:r>
    </w:p>
    <w:p>
      <w:pPr>
        <w:pStyle w:val="Normal"/>
        <w:numPr>
          <w:ilvl w:val="2"/>
          <w:numId w:val="31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dokumenty potwierdzające odbycie kursów i szkoleń z zakresu przedmiotu konkursu (kopie potwierdzone za zgodność z oryginałem), </w:t>
      </w:r>
    </w:p>
    <w:p>
      <w:pPr>
        <w:pStyle w:val="Normal"/>
        <w:numPr>
          <w:ilvl w:val="2"/>
          <w:numId w:val="32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dokumenty potwierdzające spełnianie warunków z pkt. 1 lit. b powyżej.</w:t>
      </w:r>
    </w:p>
    <w:p>
      <w:pPr>
        <w:pStyle w:val="Normal"/>
        <w:ind w:left="108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może złożyć tylko jedną ofertę. Złożenie więcej niż jednej oferty powoduje odrzucenie wszystkich ofert danego oferenta.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może wycofać złożoną ofertę przed terminem otwarcia ofert. Wycofanie oferty powinno nastąpić na piśmie pod rygorem nieważności.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Oferta musi być podpisana przez oferenta.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 przypadku złożenia kserokopii dokumentów stanowiących załączniki do oferty, muszą być one potwierdzone za zgodność z oryginałem przez oferenta.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Wszelkie poprawki w tekście oferty muszą być parafowane i datowane własnoręcznie przez oferenta.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Strony oferty oraz strony załączników należy kolejno ponumerować, a następnie umieścić                             w zaklejonej kopercie opatrzonej danymi oferenta oraz oznaczonej:</w:t>
      </w:r>
    </w:p>
    <w:p>
      <w:pPr>
        <w:pStyle w:val="Tekstpodstawowy2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Heading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„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Oferta w zakresie </w:t>
      </w: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>Poradni Zdrowia Psychicznego.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 xml:space="preserve">                 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Nie otwierać przed 24.01.2025r.”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 celu prawidłowego przygotowania oferty oferent powinien zapoznać się z miejscem wykonania zamówienia oraz zadać Udzielającemu Zamówienie wszelkie niezbędne w tym zakresie pytania. Oferent może zwrócić się do Udzielającego Zamówienie z pisemnymi pytaniami najpóźniej w terminie 3 dni roboczych przed terminem otwarcia ofert.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Odrzucenie oferty następuje w przypadkach określonych w art. 149 ust. 1 i 2 ustawy z dnia      27 sierpnia 2004r. o świadczeniach opieki zdrowotnej finansowanych ze środków publicznych.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Uzupełnienie oferty następuje w przypadkach określonych w  art. 149 ust. 3 ustawy z dnia              27 sierpnia 2004r. o świadczeniach opieki zdrowotnej finansowanych ze środków publicznych.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Udzielający Zamówienie zastrzega sobie prawo do unieważnienia całości lub części postępowania konkursowego bez uzasadnienia.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Heading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II.  WARUNKI STAWIANE OFERENTOM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 udzielenie zamówienia mogą ubiegać się osoby legitymujące się nabyciem fachowych kwalifikacji do udzielania świadczeń zdrowotnych, które wykonywane będą w siedzibie Udzielającego Zamówienie, posiadające niezbędną wiedzę i doświadczenie oraz są zdolne do wykonywania przedmiotu zamówienia, nie ciąży na nich wyrok sądów powszechnych lub zawodowych, a także nie toczy się wobec nich  jakiekolwiek postępowanie związane z wykonywanym zawodem.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Oferent świadczenia będzie je realizował przy wykorzystaniu sprzętu medycznego, materiałów  i wyrobów medycznych Udzielającego Zamówienia w siedzibie Udzielającego Zamówienie. 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będzie zobowiązany poddać się kontroli ze strony Narodowego Funduszu Zdrowia, Udzielającego Zamówienia oraz innych osób i organów uprawnionych do kontroli.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Warunkiem udziału w konkursie ofert jest złożenie oferty w wyznaczonym terminie i według zasad określonych w niniejszych Materiałach Informacyjnych.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Oferent zobowiązany będzie na bieżąco wprowadzać i rejestrować dane statystyczne </w:t>
        <w:br/>
        <w:t>i medyczne zrealizowanych świadczeń zdrowotnych do programu informatycznego obowiązującego u Udzielającego Zamówienie.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zobowiązany będzie do bieżącego, rzetelnego i kompletnego gromadzenia danych statystycznych niezbędnych do rozliczenia świadczeń zdrowotnych Udzielającego Zamówienie z NFZ.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zobowiązany będzie do rzetelnego prowadzenia dokumentacji medycznej zgodnie ze standardami przyjętymi u Udzielającego Zamówienie i przepisami prawa powszechnie obowiązującego.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powinien posiadać wiedzę, doświadczenie i kwalifikacje do realizacji zamówienia zgodnie z obowiązującymi przepisami prawa w zakresie dokumentacji medycznej.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Udzielający Zamówienie preferuje 10-dniowy termin zapłaty wynagrodzenia od daty otrzymania prawidłowo wystawionej faktury VAT/rachunku zatwierdzonej przez Udzielającego Zamówienie.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III. PRZEDMIOT POSTĘPOWANIA KONKURSOWEGO ORAZ DOPUSZCZALNOŚĆ SKŁADANIA OFERT CZĘŚCIOWYCH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3"/>
          <w:numId w:val="2"/>
        </w:numPr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ramach przedmiotowego postępowania konkursowego Oferent może złożyć jedną ofertę zgodnie z Formularzem Oferty stanowiącym załącznik nr 1 do niniejszych Materiałów Informacyjnych. W ramach przedmiotu postępowania konkursowego Przyjmujący Zamówienie zobowiązany jest również do udzielania świadczeń zdrowotnych na rzecz podmiotów </w:t>
        <w:br/>
        <w:t>i instytucji zewnętrznych w ramach podpisanych przez Udzielającego Zamówienie umów, zgodnie z przepisami prawa powszechnie obowiązującego, wymaganiami NFZ i regulacjami wewnętrznymi.</w:t>
      </w:r>
    </w:p>
    <w:p>
      <w:pPr>
        <w:pStyle w:val="Normal"/>
        <w:numPr>
          <w:ilvl w:val="3"/>
          <w:numId w:val="2"/>
        </w:numPr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Udzielający zamówienie przewiduje zawarcie jednej umowy w ramach niniejszego postępowania konkursowego. </w:t>
      </w:r>
    </w:p>
    <w:p>
      <w:pPr>
        <w:pStyle w:val="Heading2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Heading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 xml:space="preserve">IV. OKRES OBOWIĄZYWANIA UMOWY 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ind w:hanging="436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Preferowany okres na jaki winna być zawarta umowa to 12 miesięcy. </w:t>
      </w:r>
    </w:p>
    <w:p>
      <w:pPr>
        <w:pStyle w:val="Normal"/>
        <w:numPr>
          <w:ilvl w:val="0"/>
          <w:numId w:val="3"/>
        </w:numPr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w okresie obowiązywania niniejszej umowy z Udzielającym Zamówienie nie zostanie zawarty kolejny kontrakt lub kontrakty w zakresie objętym niniejszym postępowaniem konkursowym, umowa zawarta z wybranym oferentem wygaśnie najpóźniej w ostatnim dniu obowiązywania kontraktu z NFZ. </w:t>
      </w:r>
    </w:p>
    <w:p>
      <w:pPr>
        <w:pStyle w:val="Normal"/>
        <w:numPr>
          <w:ilvl w:val="0"/>
          <w:numId w:val="3"/>
        </w:numPr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Udzielający Zamówienie oświadcza, że zobowiązuje się dochować starań ubiegając się </w:t>
        <w:br/>
        <w:t xml:space="preserve">o kolejne kontrakty z NFZ w przedmiotowym zakresie przez cały czas obowiązywania umowy </w:t>
        <w:br/>
        <w:t>z oferentem.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Heading6"/>
        <w:numPr>
          <w:ilvl w:val="0"/>
          <w:numId w:val="0"/>
        </w:numPr>
        <w:ind w:hanging="0" w:left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V. KRYTERIA OCENY OFERT ORAZ NEGOCJACJE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-2127" w:leader="none"/>
          <w:tab w:val="left" w:pos="502" w:leader="none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Kryterium oceny złożonych ofert będzie cena rozumiana jako oferowany procent za 1 punkt NFZ. Oferowana cena winna być podana zgodnie Formularzem Oferty.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-2127" w:leader="none"/>
          <w:tab w:val="left" w:pos="502" w:leader="none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Cenę należy rozumieć jako całkowity koszt, który zawiera kalkulację wszystkich elementów należności. Zaproponowane w ofercie wartości pozostają stałe przez cały okres realizacji świadczeń z możliwością negocjacji zmierzających do zmiany korzystnej dla Udzielającego Zamówienie.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-2127" w:leader="none"/>
          <w:tab w:val="left" w:pos="502" w:leader="none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Udzielający Zamówienie zastrzega sobie możliwość negocjacji z każdym oferentem, w ramach przedmiotowego postępowania konkursowego, celem doprecyzowania warunków wykonywania świadczeń zdrowotnych, zakresu i podziału godzin ich realizacji oraz wynagrodzenia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przyszłej umowy, jak również możliwość podjęcia negocjacji tylko z wybranymi oferentami.</w:t>
      </w:r>
    </w:p>
    <w:p>
      <w:pPr>
        <w:pStyle w:val="Tekstpodstawowy2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VI. MIEJSCE I TERMIN SKŁADANIA OFERT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2268" w:leader="none"/>
        </w:tabs>
        <w:ind w:hanging="360" w:left="72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Ofertę w zapieczętowanej kopercie, opatrzonej danymi jak w rozdziale I niniejszych Materiałów Informacyjnych, należy przesłać na adres Szpital Specjalistyczny w Chorzowie, ul. Zjednoczenia 10, 41-500 Chorzów (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decyduje data doręczenia oferty Udzielającemu Zamówienie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) lub złożyć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do 24.01.2025r. do godziny 10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  <w:vertAlign w:val="superscript"/>
        </w:rPr>
        <w:t>00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 xml:space="preserve"> wyłącznie w Kancelarii / Sekretariacie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bookmarkStart w:id="0" w:name="_Hlk6136419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Szpitala Specjalistycznego w Chorzowie, ul. Zjednoczenia 10, 41-500 Chorzów. </w:t>
      </w:r>
      <w:bookmarkEnd w:id="0"/>
    </w:p>
    <w:p>
      <w:pPr>
        <w:pStyle w:val="Normal"/>
        <w:numPr>
          <w:ilvl w:val="0"/>
          <w:numId w:val="5"/>
        </w:numPr>
        <w:tabs>
          <w:tab w:val="clear" w:pos="708"/>
          <w:tab w:val="left" w:pos="-2268" w:leader="none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Celem dokonania zmian oferent może wycofać wcześniej złożoną ofertę i złożyć ją ponownie, pod warunkiem zachowania wyznaczonego w Materiałach Informacyjnych terminu składania ofert.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2268" w:leader="none"/>
        </w:tabs>
        <w:ind w:hanging="357" w:left="71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Wybór drogi pocztowej dla przesłania oferty następuje na ryzyko oferenta, dotyczy to w szczególności braku wpływu oferty do Szpitala Specjalistycznego w Chorzowie, w terminie określonym w pkt. 1 powyżej.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VII. TRYB UDZIELANIA WYJAŚNIEŃ NA PYTANIA OFERENTÓW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4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Oferent może zwrócić się do Udzielającego Zamówienie o wyjaśnienia dotyczące wszelkich wątpliwości związanych z Materiałami Informacyjnymi oraz sposobem przygotowania oferty, kierując swoje zapytanie osobiście lub na piśmie.</w:t>
      </w:r>
    </w:p>
    <w:p>
      <w:pPr>
        <w:pStyle w:val="Normal"/>
        <w:numPr>
          <w:ilvl w:val="0"/>
          <w:numId w:val="14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Oferent może zwrócić się do Udzielającego Zamówienie z pytaniami najpóźniej w terminie            3 dn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 roboczych przed terminem otwarcia ofert.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VIII. TERMIN ZWIĄZANIA OFERTĄ</w:t>
      </w:r>
    </w:p>
    <w:p>
      <w:pPr>
        <w:pStyle w:val="Normal"/>
        <w:ind w:left="3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ind w:left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Składający ofertę pozostaje nią związany przez okres co najmniej 120 dni, licząc od dnia składania ofert wyznaczonego przez Udzielającego Zamówienie i może być na jego prośbę przedłużany.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IX. MIEJSCE, TERMIN I TRYB OTWARCIA ORAZ OCENA OFERT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Komisyjne otwarcie ofert nastąpi na posiedzeniu Komisji Konkursowej, które odbędzie się                   w siedzibie Udzielającego Zamówienie,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24.01.2025r. o godzinie 11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  <w:vertAlign w:val="superscript"/>
        </w:rPr>
        <w:t>00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.</w:t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chwili otwarcia ofert Udzielający Zamówienia przechowuje je w stanie nienaruszonym                  w swojej siedzibie.</w:t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części jawnej konkursu nastąpi komisyjne otwarcie kopert z ofertami.</w:t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może być obecny w części jawnej konkursu.</w:t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części zamkniętej konkursu, bez udziału oferentów, Komisja ustala, które z ofert spełniają warunki określone w Materiałach Informacyjnych, odrzuca oferty nie odpowiadające warunkom określonym w Materiałach Informacyjnych, podejmuje decyzję co do wezwania oferenta do uzupełnienia oferty, bądź jego odrzucenia, przyjmuje do protokołu oświadczenia zgłoszone przez oferentów w części jawnej, rozstrzyga skargi oferentów, wybiera najkorzystniejszą ofertę, albo nie przyjmuje żadnej z ofert. </w:t>
      </w:r>
    </w:p>
    <w:p>
      <w:pPr>
        <w:pStyle w:val="Normal"/>
        <w:numPr>
          <w:ilvl w:val="0"/>
          <w:numId w:val="6"/>
        </w:numPr>
        <w:tabs>
          <w:tab w:val="clear" w:pos="708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Wyniki konkursu obowiązują po ich zatwierdzeniu przez Dyrektora Szpitala Specjalistycznego </w:t>
        <w:br/>
        <w:t xml:space="preserve">w Chorzowie. </w:t>
      </w:r>
    </w:p>
    <w:p>
      <w:pPr>
        <w:pStyle w:val="Normal"/>
        <w:numPr>
          <w:ilvl w:val="0"/>
          <w:numId w:val="6"/>
        </w:numPr>
        <w:tabs>
          <w:tab w:val="clear" w:pos="708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Komisja Konkursowa niezwłocznie zawiadamia oferentów o zakończeniu konkursu i jego wyniku na piśmie lub drogą mailową.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Postępowanie konkursowe umarza się w przypadku, gdy nie zostanie zakończone wyłonieniem najkorzystniejszej oferty.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 przebiegu postępowania konkursowego sporządza się protokoły obejmujące prace Komisji Konkursowej.  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jc w:val="both"/>
        <w:rPr>
          <w:u w:val="none"/>
        </w:rPr>
      </w:pPr>
      <w:r>
        <w:rPr>
          <w:rFonts w:eastAsia="Arial" w:cs="Calibri" w:ascii="Calibri" w:hAnsi="Calibri" w:asciiTheme="minorHAnsi" w:cstheme="minorHAnsi" w:hAnsiTheme="minorHAnsi"/>
          <w:b/>
          <w:bCs/>
          <w:sz w:val="22"/>
          <w:szCs w:val="22"/>
          <w:u w:val="none"/>
        </w:rPr>
        <w:t xml:space="preserve">                  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>X.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ŚRODKI ODWOŁAWCZE PRZYSŁUGUJĄCE OFERENTOM, KTÓRYCH INTERES PRAWNY DOZNAŁ USZCZERBKU W WYNIKU NARUSZENIA PRZEZ UDZIELAJĄCEGO ZAMÓWIENIE ZASAD PRZEPROWADZANIA POSTĘPOWANIA W SPRAWIE O ZAWARCIE UMOWY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toku postępowania w sprawie zawarcia umowy o udzielenie świadczeń opieki zdrowotnej, do czasu zakończenia postępowania, oferenci mogą złożyć do Komisji Konkursowej umotywowany protest w terminie 7 dni roboczych od dnia dokonania zaskarżonej czynności.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Protest powinien zawierać uzasadnienie faktyczne i prawne oraz określić żądania oferentów składających protest.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czasu rozpatrzenia protestu postępowanie w sprawie zawarcia umowy o udzielnie świadczeń opieki zdrowotnej ulega zawieszeniu chyba, że z treści protestu wynika, że jest on bezzasadny.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Komisja rozpatruje i rozstrzyga protest w ciągu 7 dni od dnia jego otrzymania i udziela pisemnej odpowiedzi składającym protest. Nieuwzględnienie protestu wymaga uzasadnienia.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Protest złożony po terminie nie podlega rozpatrzeniu.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Informację o wniesieniu protestu zamieszcza się na stronie internetowej Szpitala lub na tablicy ogłoszeń Udzielającego Zamówienie.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przypadku uwzględnienia protestu Komisja powtarza zaskarżoną czynność.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Oferenci biorący udział w postępowaniu mogą wnieść do Dyrektora Szpitala w terminie 7 dni od dnia ogłoszenia o rozstrzygnięciu postępowania, odwołanie dotyczące rozstrzygnięcia postępowania. Odwołanie wniesione po terminie, nie podlega rozpatrzeniu.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Odwołanie rozpatrywane jest w terminie 7 dni od dnia jego otrzymania. Wniesienie odwołania wstrzymuje zawarcie umowy o udzielanie świadczeń opieki zdrowotnej do czasu jego rozpatrzenia.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przypadku uwzględnienia odwołania przeprowadza się ponowne postępowanie konkursowe.</w:t>
      </w:r>
    </w:p>
    <w:p>
      <w:pPr>
        <w:pStyle w:val="Normal"/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Normal"/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1080" w:leader="none"/>
        </w:tabs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XI. ZAWARCIE UMOWY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7"/>
        </w:numPr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Zawarcie umowy o udzielenie zamówienia na świadczenie zdrowotne nastąpi nie później niż     w terminie 7 dni od dnia rozstrzygnięcia konkursu ofert z wyjątkiem sytuacji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określonych                    w Rozdziale V pkt. 3 i Rozdziale  X.</w:t>
      </w:r>
    </w:p>
    <w:p>
      <w:pPr>
        <w:pStyle w:val="Normal"/>
        <w:numPr>
          <w:ilvl w:val="0"/>
          <w:numId w:val="7"/>
        </w:numPr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Jeżeli Oferenci, którzy wygrali konkurs uchylą się od zawarcia umowy, Udzielający Zamówienia wybierze najkorzystniejszą spośród pozostałych ofert.</w:t>
      </w:r>
    </w:p>
    <w:p>
      <w:pPr>
        <w:pStyle w:val="Normal"/>
        <w:overflowPunct w:val="true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  <w:u w:val="single"/>
        </w:rPr>
      </w:r>
    </w:p>
    <w:p>
      <w:pPr>
        <w:pStyle w:val="Normal"/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XII. UNIEWAŻNIENIE KONKURSU</w:t>
      </w:r>
    </w:p>
    <w:p>
      <w:pPr>
        <w:pStyle w:val="Normal"/>
        <w:overflowPunct w:val="true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1"/>
        </w:numPr>
        <w:overflowPunct w:val="true"/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Udzielającemu Zamówienie przysługuje prawo unieważnienia przedmiotowego konkursu, zarówno w całości, jak i w części bez podania przyczyny i na każdym etapie postępowania konkursowego.</w:t>
      </w:r>
    </w:p>
    <w:p>
      <w:pPr>
        <w:pStyle w:val="Normal"/>
        <w:numPr>
          <w:ilvl w:val="0"/>
          <w:numId w:val="11"/>
        </w:numPr>
        <w:overflowPunct w:val="true"/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Oferentom nie przysługuje żadne roszczenie względem Udzielającego Zamówienie z tytułu unieważnienia przedmiotowego konkursu.</w:t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Wingdings">
    <w:charset w:val="ee"/>
    <w:family w:val="auto"/>
    <w:pitch w:val="variable"/>
  </w:font>
  <w:font w:name="Symbol">
    <w:charset w:val="ee"/>
    <w:family w:val="roman"/>
    <w:pitch w:val="variable"/>
  </w:font>
  <w:font w:name="Courier New">
    <w:charset w:val="ee"/>
    <w:family w:val="auto"/>
    <w:pitch w:val="variable"/>
  </w:font>
  <w:font w:name="Tahoma">
    <w:charset w:val="ee"/>
    <w:family w:val="swiss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</w:p>
  <w:p>
    <w:pPr>
      <w:pStyle w:val="Footer"/>
      <w:rPr>
        <w:sz w:val="20"/>
        <w:szCs w:val="20"/>
      </w:rPr>
    </w:pPr>
    <w:r>
      <w:rPr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</w:p>
  <w:p>
    <w:pPr>
      <w:pStyle w:val="Footer"/>
      <w:rPr>
        <w:sz w:val="20"/>
        <w:szCs w:val="20"/>
      </w:rPr>
    </w:pPr>
    <w:r>
      <w:rPr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sz w:val="28"/>
        <w:b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9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  <w:rPr/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  <w:rPr/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  <w:rPr/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b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b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sz w:val="20"/>
        <w:szCs w:val="20"/>
        <w:highlight w:val="yell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overflowPunct w:val="true"/>
      <w:textAlignment w:val="baseline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Nagwek3Znak"/>
    <w:qFormat/>
    <w:pPr>
      <w:keepNext w:val="true"/>
      <w:spacing w:lineRule="auto" w:line="360"/>
      <w:jc w:val="center"/>
      <w:outlineLvl w:val="2"/>
    </w:pPr>
    <w:rPr>
      <w:b/>
      <w:bCs/>
      <w:i/>
      <w:iCs/>
      <w:u w:val="single"/>
    </w:rPr>
  </w:style>
  <w:style w:type="paragraph" w:styleId="Heading4">
    <w:name w:val="heading 4"/>
    <w:basedOn w:val="Normal"/>
    <w:next w:val="Normal"/>
    <w:qFormat/>
    <w:pPr>
      <w:keepNext w:val="true"/>
      <w:overflowPunct w:val="true"/>
      <w:jc w:val="center"/>
      <w:textAlignment w:val="baseline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qFormat/>
    <w:pPr>
      <w:keepNext w:val="true"/>
      <w:overflowPunct w:val="true"/>
      <w:textAlignment w:val="baseline"/>
      <w:outlineLvl w:val="4"/>
    </w:pPr>
    <w:rPr>
      <w:rFonts w:ascii="Times New Roman" w:hAnsi="Times New Roman" w:cs="Times New Roman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0"/>
        <w:numId w:val="1"/>
      </w:numPr>
      <w:overflowPunct w:val="true"/>
      <w:textAlignment w:val="baseline"/>
      <w:outlineLvl w:val="5"/>
    </w:pPr>
    <w:rPr>
      <w:rFonts w:ascii="Times New Roman" w:hAnsi="Times New Roman" w:cs="Times New Roman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/>
      <w:sz w:val="2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sz w:val="20"/>
      <w:szCs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b/>
      <w:sz w:val="20"/>
      <w:szCs w:val="20"/>
    </w:rPr>
  </w:style>
  <w:style w:type="character" w:styleId="WW8Num5z0" w:customStyle="1">
    <w:name w:val="WW8Num5z0"/>
    <w:qFormat/>
    <w:rPr>
      <w:sz w:val="20"/>
      <w:szCs w:val="20"/>
    </w:rPr>
  </w:style>
  <w:style w:type="character" w:styleId="WW8Num6z0" w:customStyle="1">
    <w:name w:val="WW8Num6z0"/>
    <w:qFormat/>
    <w:rPr>
      <w:sz w:val="20"/>
      <w:szCs w:val="20"/>
    </w:rPr>
  </w:style>
  <w:style w:type="character" w:styleId="WW8Num7z0" w:customStyle="1">
    <w:name w:val="WW8Num7z0"/>
    <w:qFormat/>
    <w:rPr>
      <w:rFonts w:ascii="Arial" w:hAnsi="Arial" w:cs="Arial"/>
      <w:sz w:val="20"/>
      <w:szCs w:val="20"/>
    </w:rPr>
  </w:style>
  <w:style w:type="character" w:styleId="WW8Num8z0" w:customStyle="1">
    <w:name w:val="WW8Num8z0"/>
    <w:qFormat/>
    <w:rPr>
      <w:rFonts w:ascii="Arial" w:hAnsi="Arial" w:cs="Arial"/>
      <w:b w:val="false"/>
      <w:sz w:val="20"/>
    </w:rPr>
  </w:style>
  <w:style w:type="character" w:styleId="WW8Num9z0" w:customStyle="1">
    <w:name w:val="WW8Num9z0"/>
    <w:qFormat/>
    <w:rPr>
      <w:sz w:val="20"/>
      <w:szCs w:val="20"/>
    </w:rPr>
  </w:style>
  <w:style w:type="character" w:styleId="WW8Num10z0" w:customStyle="1">
    <w:name w:val="WW8Num10z0"/>
    <w:qFormat/>
    <w:rPr>
      <w:sz w:val="20"/>
      <w:szCs w:val="20"/>
    </w:rPr>
  </w:style>
  <w:style w:type="character" w:styleId="WW8Num11z0" w:customStyle="1">
    <w:name w:val="WW8Num11z0"/>
    <w:qFormat/>
    <w:rPr>
      <w:sz w:val="20"/>
      <w:szCs w:val="20"/>
    </w:rPr>
  </w:style>
  <w:style w:type="character" w:styleId="WW8Num12z0" w:customStyle="1">
    <w:name w:val="WW8Num12z0"/>
    <w:qFormat/>
    <w:rPr>
      <w:sz w:val="20"/>
      <w:szCs w:val="20"/>
    </w:rPr>
  </w:style>
  <w:style w:type="character" w:styleId="WW8Num13z0" w:customStyle="1">
    <w:name w:val="WW8Num13z0"/>
    <w:qFormat/>
    <w:rPr>
      <w:b/>
      <w:sz w:val="20"/>
      <w:szCs w:val="20"/>
    </w:rPr>
  </w:style>
  <w:style w:type="character" w:styleId="WW8Num13z1" w:customStyle="1">
    <w:name w:val="WW8Num13z1"/>
    <w:qFormat/>
    <w:rPr>
      <w:rFonts w:ascii="Arial" w:hAnsi="Arial" w:cs="Arial"/>
      <w:sz w:val="20"/>
      <w:szCs w:val="20"/>
    </w:rPr>
  </w:style>
  <w:style w:type="character" w:styleId="WW8Num13z2" w:customStyle="1">
    <w:name w:val="WW8Num13z2"/>
    <w:qFormat/>
    <w:rPr>
      <w:rFonts w:ascii="Wingdings" w:hAnsi="Wingdings" w:cs="Wingdings"/>
      <w:sz w:val="20"/>
      <w:szCs w:val="20"/>
    </w:rPr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sz w:val="20"/>
      <w:szCs w:val="20"/>
    </w:rPr>
  </w:style>
  <w:style w:type="character" w:styleId="WW8Num15z0" w:customStyle="1">
    <w:name w:val="WW8Num15z0"/>
    <w:qFormat/>
    <w:rPr>
      <w:sz w:val="20"/>
      <w:szCs w:val="20"/>
    </w:rPr>
  </w:style>
  <w:style w:type="character" w:styleId="WW8Num16z0" w:customStyle="1">
    <w:name w:val="WW8Num16z0"/>
    <w:qFormat/>
    <w:rPr>
      <w:sz w:val="20"/>
      <w:szCs w:val="20"/>
    </w:rPr>
  </w:style>
  <w:style w:type="character" w:styleId="WW8Num17z0" w:customStyle="1">
    <w:name w:val="WW8Num17z0"/>
    <w:qFormat/>
    <w:rPr>
      <w:sz w:val="20"/>
      <w:szCs w:val="20"/>
    </w:rPr>
  </w:style>
  <w:style w:type="character" w:styleId="WW8Num18z0" w:customStyle="1">
    <w:name w:val="WW8Num18z0"/>
    <w:qFormat/>
    <w:rPr>
      <w:rFonts w:ascii="Symbol" w:hAnsi="Symbol" w:cs="OpenSymbol"/>
      <w:sz w:val="20"/>
      <w:szCs w:val="20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1" w:customStyle="1">
    <w:name w:val="WW8Num7z1"/>
    <w:qFormat/>
    <w:rPr>
      <w:rFonts w:ascii="Times New Roman" w:hAnsi="Times New Roman" w:eastAsia="Times New Roman" w:cs="Times New Roman"/>
    </w:rPr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Symbol" w:hAnsi="Symbol" w:cs="Symbol"/>
    </w:rPr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sz w:val="20"/>
      <w:szCs w:val="20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b/>
      <w:sz w:val="20"/>
      <w:szCs w:val="20"/>
    </w:rPr>
  </w:style>
  <w:style w:type="character" w:styleId="WW8Num30z1" w:customStyle="1">
    <w:name w:val="WW8Num30z1"/>
    <w:qFormat/>
    <w:rPr>
      <w:rFonts w:ascii="Arial" w:hAnsi="Arial" w:cs="Arial"/>
      <w:sz w:val="20"/>
      <w:szCs w:val="20"/>
    </w:rPr>
  </w:style>
  <w:style w:type="character" w:styleId="WW8Num30z2" w:customStyle="1">
    <w:name w:val="WW8Num30z2"/>
    <w:qFormat/>
    <w:rPr>
      <w:rFonts w:ascii="Wingdings" w:hAnsi="Wingdings" w:cs="Wingdings"/>
      <w:sz w:val="20"/>
      <w:szCs w:val="20"/>
    </w:rPr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>
      <w:rFonts w:ascii="Symbol" w:hAnsi="Symbol" w:cs="Symbol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>
      <w:b w:val="false"/>
      <w:sz w:val="20"/>
      <w:szCs w:val="20"/>
    </w:rPr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>
      <w:sz w:val="20"/>
      <w:szCs w:val="20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>
      <w:sz w:val="20"/>
      <w:szCs w:val="20"/>
    </w:rPr>
  </w:style>
  <w:style w:type="character" w:styleId="WW8Num39z1" w:customStyle="1">
    <w:name w:val="WW8Num39z1"/>
    <w:qFormat/>
    <w:rPr/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>
      <w:sz w:val="20"/>
      <w:szCs w:val="20"/>
    </w:rPr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>
      <w:sz w:val="20"/>
      <w:szCs w:val="20"/>
    </w:rPr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Domylnaczcionkaakapitu1" w:customStyle="1">
    <w:name w:val="Domyślna czcionka akapitu1"/>
    <w:qFormat/>
    <w:rPr/>
  </w:style>
  <w:style w:type="character" w:styleId="NagwekZnak" w:customStyle="1">
    <w:name w:val="Nagłówek Znak"/>
    <w:qFormat/>
    <w:rPr>
      <w:rFonts w:ascii="Arial" w:hAnsi="Arial" w:cs="Arial"/>
      <w:sz w:val="24"/>
      <w:szCs w:val="24"/>
    </w:rPr>
  </w:style>
  <w:style w:type="character" w:styleId="StopkaZnak" w:customStyle="1">
    <w:name w:val="Stopka Znak"/>
    <w:qFormat/>
    <w:rPr>
      <w:rFonts w:ascii="Arial" w:hAnsi="Arial" w:cs="Arial"/>
      <w:sz w:val="24"/>
      <w:szCs w:val="24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TekstkomentarzaZnak" w:customStyle="1">
    <w:name w:val="Tekst komentarza Znak"/>
    <w:qFormat/>
    <w:rPr>
      <w:rFonts w:ascii="Arial" w:hAnsi="Arial" w:cs="Arial"/>
    </w:rPr>
  </w:style>
  <w:style w:type="character" w:styleId="TematkomentarzaZnak" w:customStyle="1">
    <w:name w:val="Temat komentarza Znak"/>
    <w:qFormat/>
    <w:rPr>
      <w:rFonts w:ascii="Arial" w:hAnsi="Arial" w:cs="Arial"/>
      <w:b/>
      <w:bCs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Nagwek3Znak" w:customStyle="1">
    <w:name w:val="Nagłówek 3 Znak"/>
    <w:qFormat/>
    <w:rsid w:val="00e46307"/>
    <w:rPr>
      <w:rFonts w:ascii="Arial" w:hAnsi="Arial" w:cs="Arial"/>
      <w:b/>
      <w:bCs/>
      <w:i/>
      <w:iCs/>
      <w:sz w:val="24"/>
      <w:szCs w:val="24"/>
      <w:u w:val="single"/>
      <w:lang w:eastAsia="zh-CN"/>
    </w:rPr>
  </w:style>
  <w:style w:type="character" w:styleId="TekstprzypisukocowegoZnak" w:customStyle="1">
    <w:name w:val="Tekst przypisu końcowego Znak"/>
    <w:uiPriority w:val="99"/>
    <w:semiHidden/>
    <w:qFormat/>
    <w:rsid w:val="000a41b5"/>
    <w:rPr>
      <w:rFonts w:ascii="Arial" w:hAnsi="Arial" w:cs="Arial"/>
      <w:lang w:eastAsia="zh-CN"/>
    </w:rPr>
  </w:style>
  <w:style w:type="character" w:styleId="Znakiprzypiswkocowych">
    <w:name w:val="Znaki przypisów końcowych"/>
    <w:uiPriority w:val="99"/>
    <w:semiHidden/>
    <w:unhideWhenUsed/>
    <w:qFormat/>
    <w:rsid w:val="000a41b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overflowPunct w:val="true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Nagwek1" w:customStyle="1">
    <w:name w:val="Nagłówek1"/>
    <w:basedOn w:val="Normal"/>
    <w:next w:val="BodyText"/>
    <w:qFormat/>
    <w:pPr>
      <w:jc w:val="center"/>
    </w:pPr>
    <w:rPr>
      <w:b/>
    </w:rPr>
  </w:style>
  <w:style w:type="paragraph" w:styleId="Tekstpodstawowy21" w:customStyle="1">
    <w:name w:val="Tekst podstawowy 21"/>
    <w:basedOn w:val="Normal"/>
    <w:qFormat/>
    <w:pPr>
      <w:jc w:val="center"/>
    </w:pPr>
    <w:rPr>
      <w:b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BalloonText">
    <w:name w:val="Balloon Text"/>
    <w:basedOn w:val="Normal"/>
    <w:qFormat/>
    <w:pPr/>
    <w:rPr>
      <w:rFonts w:ascii="Tahoma" w:hAnsi="Tahoma" w:cs="Times New Roman"/>
      <w:sz w:val="16"/>
      <w:szCs w:val="16"/>
      <w:lang w:val="x-none"/>
    </w:rPr>
  </w:style>
  <w:style w:type="paragraph" w:styleId="Tekstkomentarza1" w:customStyle="1">
    <w:name w:val="Tekst komentarza1"/>
    <w:basedOn w:val="Normal"/>
    <w:qFormat/>
    <w:pPr/>
    <w:rPr>
      <w:rFonts w:cs="Times New Roman"/>
      <w:sz w:val="20"/>
      <w:szCs w:val="20"/>
      <w:lang w:val="x-none"/>
    </w:rPr>
  </w:style>
  <w:style w:type="paragraph" w:styleId="annotationsubject">
    <w:name w:val="annotation subject"/>
    <w:basedOn w:val="Tekstkomentarza1"/>
    <w:next w:val="Tekstkomentarza1"/>
    <w:qFormat/>
    <w:pPr/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uiPriority w:val="34"/>
    <w:qFormat/>
    <w:pPr>
      <w:ind w:left="708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a41b5"/>
    <w:pPr/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LibreOffice/24.8.4.2$Windows_X86_64 LibreOffice_project/bb3cfa12c7b1bf994ecc5649a80400d06cd71002</Application>
  <AppVersion>15.0000</AppVersion>
  <Pages>6</Pages>
  <Words>1763</Words>
  <Characters>11855</Characters>
  <CharactersWithSpaces>13656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2024-12-11T14:39:00Z</dcterms:created>
  <dc:creator>szpital50</dc:creator>
  <dc:description/>
  <dc:language>pl-PL</dc:language>
  <cp:lastModifiedBy/>
  <cp:lastPrinted>2025-01-17T14:08:57Z</cp:lastPrinted>
  <dcterms:modified xsi:type="dcterms:W3CDTF">2025-01-20T11:22:03Z</dcterms:modified>
  <cp:revision>12</cp:revision>
  <dc:subject/>
  <dc:title>Wojewódzki Szpital Specjalistyczny im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