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1E6F6EA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825905">
        <w:t>15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1AF03F42" w:rsidR="00DC0252" w:rsidRDefault="00DC0252" w:rsidP="00DC0252">
      <w:pPr>
        <w:pStyle w:val="Tytu"/>
      </w:pPr>
      <w:r>
        <w:t>Ogłasza postępowanie konkursowe obejmujące zamówienie</w:t>
      </w:r>
      <w:r w:rsidR="00937DE5">
        <w:t xml:space="preserve"> w </w:t>
      </w:r>
      <w:r>
        <w:t xml:space="preserve">zakresie udzielania świadczeń zdrowotnych </w:t>
      </w:r>
      <w:r w:rsidR="00825905">
        <w:t>– wykonywanie badań laboratoryjnych</w:t>
      </w:r>
      <w:r>
        <w:t xml:space="preserve">, przez okres </w:t>
      </w:r>
      <w:r w:rsidR="00825905">
        <w:t>36</w:t>
      </w:r>
      <w:r>
        <w:t xml:space="preserve"> miesięcy.</w:t>
      </w:r>
    </w:p>
    <w:p w14:paraId="638FD42B" w14:textId="77777777" w:rsidR="00DC0252" w:rsidRDefault="00DC0252" w:rsidP="00DC0252"/>
    <w:p w14:paraId="1FCB53F5" w14:textId="77777777" w:rsidR="00DC0252" w:rsidRDefault="00DC0252" w:rsidP="00DC0252"/>
    <w:p w14:paraId="5660ABC7" w14:textId="77777777" w:rsidR="00DC0252" w:rsidRDefault="00DC0252" w:rsidP="00DC0252"/>
    <w:p w14:paraId="175EC513" w14:textId="68A1E664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  <w:r w:rsidR="00825905">
        <w:rPr>
          <w:rStyle w:val="Uwydatnienie"/>
        </w:rPr>
        <w:t>.</w:t>
      </w:r>
    </w:p>
    <w:p w14:paraId="29BB222D" w14:textId="77777777" w:rsidR="00DC0252" w:rsidRDefault="00DC0252" w:rsidP="00DC0252"/>
    <w:p w14:paraId="0B1ADBA3" w14:textId="77777777" w:rsidR="00DC0252" w:rsidRDefault="00DC0252" w:rsidP="00DC0252"/>
    <w:p w14:paraId="1B8FA07A" w14:textId="08F109C1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825905">
        <w:rPr>
          <w:rStyle w:val="Pogrubienie"/>
        </w:rPr>
        <w:t>18</w:t>
      </w:r>
      <w:r w:rsidRPr="004C18EC">
        <w:rPr>
          <w:rStyle w:val="Pogrubienie"/>
        </w:rPr>
        <w:t>.0</w:t>
      </w:r>
      <w:r w:rsidR="00825905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684443E6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825905">
        <w:rPr>
          <w:rStyle w:val="Pogrubienie"/>
        </w:rPr>
        <w:t>18</w:t>
      </w:r>
      <w:r w:rsidRPr="004C18EC">
        <w:rPr>
          <w:rStyle w:val="Pogrubienie"/>
        </w:rPr>
        <w:t>.0</w:t>
      </w:r>
      <w:r w:rsidR="00825905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lastRenderedPageBreak/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37195F89" w14:textId="77777777" w:rsidR="00825905" w:rsidRDefault="00DC0252" w:rsidP="00825905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7725DA42" w14:textId="77777777" w:rsidR="00825905" w:rsidRPr="00825905" w:rsidRDefault="00825905" w:rsidP="00825905">
      <w:pPr>
        <w:pStyle w:val="Akapitzlist"/>
        <w:numPr>
          <w:ilvl w:val="2"/>
          <w:numId w:val="3"/>
        </w:numPr>
      </w:pPr>
      <w:r>
        <w:rPr>
          <w:szCs w:val="24"/>
        </w:rPr>
        <w:t>W</w:t>
      </w:r>
      <w:r w:rsidRPr="00825905">
        <w:rPr>
          <w:szCs w:val="24"/>
        </w:rPr>
        <w:t xml:space="preserve"> zakresie badań laboratoryjnych i diagnostycznych Oferent zobowiązany jest do udzielania świadczeń w pomieszczeniach odpowiadającym wymaganiom fachowym i sanitarnym, określonych odrębnymi przepisami, zgodnie z wymogami określonymi dla pracowni diagnostycznych</w:t>
      </w:r>
      <w:r>
        <w:rPr>
          <w:szCs w:val="24"/>
        </w:rPr>
        <w:t>.</w:t>
      </w:r>
    </w:p>
    <w:p w14:paraId="0A274DB2" w14:textId="6B2F2B01" w:rsidR="00825905" w:rsidRPr="00825905" w:rsidRDefault="00825905" w:rsidP="00825905">
      <w:pPr>
        <w:pStyle w:val="Akapitzlist"/>
        <w:numPr>
          <w:ilvl w:val="2"/>
          <w:numId w:val="3"/>
        </w:numPr>
      </w:pPr>
      <w:r>
        <w:rPr>
          <w:szCs w:val="24"/>
        </w:rPr>
        <w:t>W</w:t>
      </w:r>
      <w:r w:rsidRPr="00825905">
        <w:rPr>
          <w:szCs w:val="24"/>
        </w:rPr>
        <w:t xml:space="preserve"> zakresie badań laboratoryjnych i diagnostycznych Oferent zobowiązany jest do zapewnienia dostępności oferowanych badań przez możliwie największą liczbę dni w tygodniu oraz godzin w ciągu dnia, zgodnie z wymogami określonymi dla pracowni diagnostycznych i laboratoryjnych</w:t>
      </w:r>
      <w:r>
        <w:rPr>
          <w:szCs w:val="24"/>
        </w:rPr>
        <w:t>.</w:t>
      </w:r>
    </w:p>
    <w:p w14:paraId="1396DF46" w14:textId="4A465DB2" w:rsidR="00825905" w:rsidRPr="00825905" w:rsidRDefault="00825905" w:rsidP="00825905">
      <w:pPr>
        <w:pStyle w:val="Akapitzlist"/>
        <w:numPr>
          <w:ilvl w:val="2"/>
          <w:numId w:val="3"/>
        </w:numPr>
        <w:rPr>
          <w:szCs w:val="24"/>
        </w:rPr>
      </w:pPr>
      <w:r>
        <w:rPr>
          <w:szCs w:val="24"/>
        </w:rPr>
        <w:t>W</w:t>
      </w:r>
      <w:r w:rsidRPr="00825905">
        <w:rPr>
          <w:szCs w:val="24"/>
        </w:rPr>
        <w:t xml:space="preserve"> zakresie badań laboratoryjnych i diagnostycznych Oferent zobowiązany jest udzielać świadczeń zdrowotnych z użyciem sprzętu i aparatury medycznej zgodnie z wymogami określonymi dla pracowni diagnostycznych, posiadające stosowne certyfikaty, atesty uzyskane w trybie przewidzianym odrębnymi przepisami, ich aktualne przeglądy wykonane przez uprawnione serwisy</w:t>
      </w:r>
      <w:r>
        <w:rPr>
          <w:szCs w:val="24"/>
        </w:rPr>
        <w:t>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50F4EE5D" w:rsidR="00A869E7" w:rsidRPr="00825905" w:rsidRDefault="00DC0252" w:rsidP="00DC0252">
      <w:pPr>
        <w:pStyle w:val="Akapitzlist"/>
        <w:numPr>
          <w:ilvl w:val="2"/>
          <w:numId w:val="3"/>
        </w:numPr>
        <w:rPr>
          <w:rStyle w:val="Pogrubienie"/>
          <w:szCs w:val="24"/>
        </w:rPr>
      </w:pPr>
      <w:r w:rsidRPr="00155511">
        <w:rPr>
          <w:rStyle w:val="Pogrubienie"/>
        </w:rPr>
        <w:t>Załączniki do oferty (jeśli dotyczą):</w:t>
      </w:r>
      <w:r w:rsidR="00825905">
        <w:rPr>
          <w:rStyle w:val="Pogrubienie"/>
        </w:rPr>
        <w:t xml:space="preserve"> </w:t>
      </w:r>
      <w:r w:rsidR="00825905" w:rsidRPr="00825905">
        <w:rPr>
          <w:b/>
          <w:szCs w:val="24"/>
        </w:rPr>
        <w:t xml:space="preserve">odpis KRS, zaświadczenie o wpisie do </w:t>
      </w:r>
      <w:proofErr w:type="spellStart"/>
      <w:r w:rsidR="00825905" w:rsidRPr="00825905">
        <w:rPr>
          <w:b/>
          <w:szCs w:val="24"/>
        </w:rPr>
        <w:t>CEiDG</w:t>
      </w:r>
      <w:proofErr w:type="spellEnd"/>
      <w:r w:rsidR="00825905" w:rsidRPr="00825905">
        <w:rPr>
          <w:b/>
          <w:szCs w:val="24"/>
        </w:rPr>
        <w:t xml:space="preserve"> prowadzonej przez ministra właściwego ds. gospodarki; </w:t>
      </w:r>
      <w:r w:rsidR="00AB5B41" w:rsidRPr="00AB5B41">
        <w:rPr>
          <w:rFonts w:ascii="Calibri" w:hAnsi="Calibri" w:cs="Calibri"/>
          <w:b/>
          <w:bCs/>
          <w:szCs w:val="24"/>
        </w:rPr>
        <w:t>wykaz personelu zatrudnionego w medycznym laboratorium diagnostycznym z określeniem wykształcenia, kwalifikacji zawodowych i doświadczenia</w:t>
      </w:r>
      <w:r w:rsidR="00825905" w:rsidRPr="00825905">
        <w:rPr>
          <w:b/>
          <w:szCs w:val="24"/>
        </w:rPr>
        <w:t xml:space="preserve">; w </w:t>
      </w:r>
      <w:r w:rsidR="00825905" w:rsidRPr="00825905">
        <w:rPr>
          <w:b/>
          <w:szCs w:val="24"/>
        </w:rPr>
        <w:lastRenderedPageBreak/>
        <w:t>przypadku badań laboratoryjnych i mikrobiologicznych wymagany jest wpis do rejestru w Krajowej Izbie Diagnostów Laboratoryjnych oraz rejestru podmiotów wykonujących działalność leczniczą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dostarczenie procedur dotyczących metodyki zleconych badań, sposobu pobierania, przechowywania i transportu materiału badanego, oraz sposobu przekazywania wyników badań w trybie rutynowym i w trybie „cito” z zachowaniem poufności danych pacjenta (dostarczenie w przypadku wygrania konkursu); dostarczenie procedur kontroli wewnątrzlaboratoryjnej wraz z listą używanych materiałów kontrolnych, a także certyfikaty jakości badań laboratoryjnych, których składana oferta dotyczy </w:t>
      </w:r>
      <w:r w:rsidR="00825905" w:rsidRPr="00825905">
        <w:rPr>
          <w:b/>
          <w:szCs w:val="24"/>
          <w:shd w:val="clear" w:color="auto" w:fill="FFFFFF"/>
        </w:rPr>
        <w:t xml:space="preserve">wraz z uzyskanymi wynikami potwierdzającymi udział w kontroli </w:t>
      </w:r>
      <w:proofErr w:type="spellStart"/>
      <w:r w:rsidR="00825905" w:rsidRPr="00825905">
        <w:rPr>
          <w:b/>
          <w:szCs w:val="24"/>
          <w:shd w:val="clear" w:color="auto" w:fill="FFFFFF"/>
        </w:rPr>
        <w:t>międzylaboratoryjnej</w:t>
      </w:r>
      <w:proofErr w:type="spellEnd"/>
      <w:r w:rsidR="00825905" w:rsidRPr="00825905">
        <w:rPr>
          <w:b/>
          <w:szCs w:val="24"/>
          <w:shd w:val="clear" w:color="auto" w:fill="FFFFFF"/>
        </w:rPr>
        <w:t xml:space="preserve"> dla wszystkich zamawianych badań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podanie informacji czy badanie będzie wykonywane przez podwykonawców oferenta (podanie dokładnych danych)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podanie dokładnych lokalizacji laboratorium lub jego fili wykonujących badania wraz z numerami telefonów do kontaktu telefonicznego w celu przekazania informacji</w:t>
      </w:r>
      <w:r w:rsidR="006B26EC">
        <w:rPr>
          <w:b/>
          <w:szCs w:val="24"/>
        </w:rPr>
        <w:t xml:space="preserve"> i</w:t>
      </w:r>
      <w:r w:rsidR="00825905" w:rsidRPr="00825905">
        <w:rPr>
          <w:b/>
          <w:szCs w:val="24"/>
        </w:rPr>
        <w:t xml:space="preserve"> ewentualnych konsultacji w zakresie merytorycznym dotyczącym przedmiotu umowy; należy dostarczyć listę badań podzlecanych oraz certyfikaty potwierdzające jakość wykonywanych badań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wymagane jest również podanie maksymalnego czasu oczekiwania na wyniki poszczególnych badań laboratoryjnych w tym badań oznaczonych CITO</w:t>
      </w:r>
      <w:r w:rsidR="00825905">
        <w:rPr>
          <w:b/>
          <w:szCs w:val="24"/>
        </w:rPr>
        <w:t xml:space="preserve"> (jeśli </w:t>
      </w:r>
      <w:r w:rsidR="006B26EC">
        <w:rPr>
          <w:b/>
          <w:szCs w:val="24"/>
        </w:rPr>
        <w:t>Udzielający</w:t>
      </w:r>
      <w:r w:rsidR="00825905">
        <w:rPr>
          <w:b/>
          <w:szCs w:val="24"/>
        </w:rPr>
        <w:t xml:space="preserve"> Zamówienie nie wpisał czasu </w:t>
      </w:r>
      <w:r w:rsidR="006B26EC">
        <w:rPr>
          <w:b/>
          <w:szCs w:val="24"/>
        </w:rPr>
        <w:t>oczekiwania na wynik w Formularz Oferty)</w:t>
      </w:r>
      <w:r w:rsidR="00825905" w:rsidRPr="00825905">
        <w:rPr>
          <w:b/>
          <w:szCs w:val="24"/>
        </w:rPr>
        <w:t xml:space="preserve">; imienne podanie osoby z którą </w:t>
      </w:r>
      <w:r w:rsidR="006B26EC">
        <w:rPr>
          <w:b/>
          <w:szCs w:val="24"/>
        </w:rPr>
        <w:t>Udzielający Zamówienie</w:t>
      </w:r>
      <w:r w:rsidR="00825905" w:rsidRPr="00825905">
        <w:rPr>
          <w:b/>
          <w:szCs w:val="24"/>
        </w:rPr>
        <w:t xml:space="preserve"> może wyjaśniać sprawy związane z realizacją podwykonawstwa w zakresie podpisanej umowy wraz z podaniem numeru telefonu i e-maila</w:t>
      </w:r>
      <w:r w:rsidR="00825905">
        <w:rPr>
          <w:b/>
          <w:szCs w:val="24"/>
        </w:rPr>
        <w:t>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54AAD223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6B26EC">
        <w:rPr>
          <w:rStyle w:val="Pogrubienie"/>
        </w:rPr>
        <w:t>badań laboratoryjnych</w:t>
      </w:r>
      <w:r w:rsidRPr="00125F2A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6B26EC">
        <w:rPr>
          <w:rStyle w:val="Pogrubienie"/>
        </w:rPr>
        <w:t>1</w:t>
      </w:r>
      <w:r w:rsidRPr="00125F2A">
        <w:rPr>
          <w:rStyle w:val="Pogrubienie"/>
        </w:rPr>
        <w:t>8.0</w:t>
      </w:r>
      <w:r w:rsidR="006B26EC">
        <w:rPr>
          <w:rStyle w:val="Pogrubienie"/>
        </w:rPr>
        <w:t>6</w:t>
      </w:r>
      <w:r w:rsidRPr="00125F2A">
        <w:rPr>
          <w:rStyle w:val="Pogrubienie"/>
        </w:rPr>
        <w:t>.2025</w:t>
      </w:r>
      <w:r w:rsidR="000E7E67">
        <w:rPr>
          <w:rStyle w:val="Pogrubienie"/>
        </w:rPr>
        <w:t xml:space="preserve"> </w:t>
      </w:r>
      <w:r w:rsidRPr="00125F2A">
        <w:rPr>
          <w:rStyle w:val="Pogrubienie"/>
        </w:rPr>
        <w:t>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D2356BB" w:rsidR="00A869E7" w:rsidRPr="00D12BC2" w:rsidRDefault="00D12BC2" w:rsidP="00DC0252">
      <w:pPr>
        <w:pStyle w:val="Akapitzlist"/>
        <w:numPr>
          <w:ilvl w:val="1"/>
          <w:numId w:val="3"/>
        </w:numPr>
        <w:rPr>
          <w:szCs w:val="24"/>
        </w:rPr>
      </w:pPr>
      <w:r w:rsidRPr="00D12BC2">
        <w:rPr>
          <w:szCs w:val="24"/>
        </w:rPr>
        <w:t xml:space="preserve">W przypadku badań wymagających umieszczenia materiału w pojemniku obowiązek dostarczania pojemników na materiał badany leży po stronie Oferenta (jeśli </w:t>
      </w:r>
      <w:r>
        <w:rPr>
          <w:szCs w:val="24"/>
        </w:rPr>
        <w:t>Formularz Oferty</w:t>
      </w:r>
      <w:r w:rsidRPr="00D12BC2">
        <w:rPr>
          <w:szCs w:val="24"/>
        </w:rPr>
        <w:t xml:space="preserve"> nie stanowi inaczej). Dostarczanie pojemników powinno się odbywać według </w:t>
      </w:r>
      <w:proofErr w:type="spellStart"/>
      <w:r w:rsidRPr="00D12BC2">
        <w:rPr>
          <w:szCs w:val="24"/>
        </w:rPr>
        <w:t>zapotrzebowań</w:t>
      </w:r>
      <w:proofErr w:type="spellEnd"/>
      <w:r w:rsidRPr="00D12BC2">
        <w:rPr>
          <w:szCs w:val="24"/>
        </w:rPr>
        <w:t xml:space="preserve"> składanych przez Udzielającego Zamówienie każdego miesiąca na miesiąc następny</w:t>
      </w:r>
      <w:r w:rsidR="00DC0252" w:rsidRPr="00D12BC2">
        <w:rPr>
          <w:szCs w:val="24"/>
        </w:rPr>
        <w:t xml:space="preserve">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CA68AF" w14:textId="7B6A9FE3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zdrowotnych.</w:t>
      </w:r>
    </w:p>
    <w:p w14:paraId="5BBEABBA" w14:textId="55C43E2C" w:rsidR="00A869E7" w:rsidRDefault="00DC0252" w:rsidP="00DC0252">
      <w:pPr>
        <w:pStyle w:val="Akapitzlist"/>
        <w:numPr>
          <w:ilvl w:val="1"/>
          <w:numId w:val="3"/>
        </w:numPr>
      </w:pPr>
      <w:r>
        <w:t xml:space="preserve">Oferent zobowiązany będzie do rzetelnego prowadzenia dokumentacji zgodnie ze standardami </w:t>
      </w:r>
      <w:r w:rsidR="00937DE5">
        <w:t>i </w:t>
      </w:r>
      <w:r>
        <w:t>przepisami prawa powszechnie obowiązującego.</w:t>
      </w:r>
    </w:p>
    <w:p w14:paraId="64925C96" w14:textId="6491FE91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prawa.</w:t>
      </w:r>
    </w:p>
    <w:p w14:paraId="1F527DBC" w14:textId="5A9522B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Udzielający Zamówienie preferuje </w:t>
      </w:r>
      <w:r w:rsidR="00796AFD">
        <w:t>3</w:t>
      </w:r>
      <w:r>
        <w:t>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079E79FC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6B26EC">
        <w:t>36</w:t>
      </w:r>
      <w:r w:rsidR="00DC0252">
        <w:t xml:space="preserve"> miesi</w:t>
      </w:r>
      <w:r w:rsidR="006B26EC">
        <w:t>ę</w:t>
      </w:r>
      <w:r w:rsidR="00DC0252">
        <w:t>c</w:t>
      </w:r>
      <w:r w:rsidR="006B26EC">
        <w:t>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3C0BFE0F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6B26EC">
        <w:rPr>
          <w:rStyle w:val="Pogrubienie"/>
        </w:rPr>
        <w:t>1</w:t>
      </w:r>
      <w:r w:rsidR="00DC0252" w:rsidRPr="000E7E67">
        <w:rPr>
          <w:rStyle w:val="Pogrubienie"/>
        </w:rPr>
        <w:t>8.0</w:t>
      </w:r>
      <w:r w:rsidR="006B26EC">
        <w:rPr>
          <w:rStyle w:val="Pogrubienie"/>
        </w:rPr>
        <w:t>6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46F9EB4A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6B26EC">
        <w:t>1</w:t>
      </w:r>
      <w:r>
        <w:t>8.0</w:t>
      </w:r>
      <w:r w:rsidR="006B26EC">
        <w:t>6</w:t>
      </w:r>
      <w:r>
        <w:t>.2025</w:t>
      </w:r>
      <w:r w:rsidR="00125F2A">
        <w:t xml:space="preserve"> </w:t>
      </w:r>
      <w:r>
        <w:t>r.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>Materiałach Informacyjnych, podejmuje 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lastRenderedPageBreak/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0C9F" w14:textId="77777777" w:rsidR="00D2139B" w:rsidRDefault="00D2139B" w:rsidP="00262185">
      <w:pPr>
        <w:spacing w:after="0" w:line="240" w:lineRule="auto"/>
      </w:pPr>
      <w:r>
        <w:separator/>
      </w:r>
    </w:p>
  </w:endnote>
  <w:endnote w:type="continuationSeparator" w:id="0">
    <w:p w14:paraId="303C68CF" w14:textId="77777777" w:rsidR="00D2139B" w:rsidRDefault="00D2139B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D7C2" w14:textId="77777777" w:rsidR="00D2139B" w:rsidRDefault="00D2139B" w:rsidP="00262185">
      <w:pPr>
        <w:spacing w:after="0" w:line="240" w:lineRule="auto"/>
      </w:pPr>
      <w:r>
        <w:separator/>
      </w:r>
    </w:p>
  </w:footnote>
  <w:footnote w:type="continuationSeparator" w:id="0">
    <w:p w14:paraId="6A5BD854" w14:textId="77777777" w:rsidR="00D2139B" w:rsidRDefault="00D2139B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</w:abstractNum>
  <w:abstractNum w:abstractNumId="2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6"/>
  </w:num>
  <w:num w:numId="2" w16cid:durableId="278993491">
    <w:abstractNumId w:val="3"/>
  </w:num>
  <w:num w:numId="3" w16cid:durableId="75635137">
    <w:abstractNumId w:val="5"/>
  </w:num>
  <w:num w:numId="4" w16cid:durableId="1278442741">
    <w:abstractNumId w:val="2"/>
  </w:num>
  <w:num w:numId="5" w16cid:durableId="1889876045">
    <w:abstractNumId w:val="4"/>
  </w:num>
  <w:num w:numId="6" w16cid:durableId="1999654891">
    <w:abstractNumId w:val="0"/>
  </w:num>
  <w:num w:numId="7" w16cid:durableId="177655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E05E0"/>
    <w:rsid w:val="003F57F9"/>
    <w:rsid w:val="0043424A"/>
    <w:rsid w:val="004C18EC"/>
    <w:rsid w:val="0057013C"/>
    <w:rsid w:val="005B0107"/>
    <w:rsid w:val="006B26EC"/>
    <w:rsid w:val="00796AFD"/>
    <w:rsid w:val="00825905"/>
    <w:rsid w:val="00937DE5"/>
    <w:rsid w:val="00A869E7"/>
    <w:rsid w:val="00AB5B41"/>
    <w:rsid w:val="00B24778"/>
    <w:rsid w:val="00B478E8"/>
    <w:rsid w:val="00D12BC2"/>
    <w:rsid w:val="00D2139B"/>
    <w:rsid w:val="00DC0252"/>
    <w:rsid w:val="00DD2DB2"/>
    <w:rsid w:val="00E14C58"/>
    <w:rsid w:val="00EA26B8"/>
    <w:rsid w:val="00EA4D2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character" w:customStyle="1" w:styleId="WW8Num3z0">
    <w:name w:val="WW8Num3z0"/>
    <w:rsid w:val="00825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2152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8</cp:revision>
  <dcterms:created xsi:type="dcterms:W3CDTF">2025-03-28T07:13:00Z</dcterms:created>
  <dcterms:modified xsi:type="dcterms:W3CDTF">2025-06-09T09:52:00Z</dcterms:modified>
</cp:coreProperties>
</file>