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30034E63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Pr="00CA3004">
        <w:t>oferty</w:t>
      </w:r>
    </w:p>
    <w:p w14:paraId="262F5DC5" w14:textId="77777777" w:rsidR="00BD0550" w:rsidRDefault="00BD0550" w:rsidP="00DC0252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638FD42B" w14:textId="77878CBE" w:rsidR="00DC0252" w:rsidRDefault="00CA3004" w:rsidP="00DC0252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6066B0">
        <w:rPr>
          <w:rFonts w:eastAsiaTheme="majorEastAsia" w:cstheme="majorBidi"/>
          <w:b/>
          <w:color w:val="000000" w:themeColor="text1"/>
          <w:sz w:val="28"/>
          <w:szCs w:val="32"/>
        </w:rPr>
        <w:t>15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DB1182" w:rsidRPr="00CA3004">
        <w:rPr>
          <w:rFonts w:eastAsiaTheme="majorEastAsia" w:cstheme="majorBidi"/>
          <w:b/>
          <w:color w:val="000000" w:themeColor="text1"/>
          <w:sz w:val="28"/>
          <w:szCs w:val="32"/>
        </w:rPr>
        <w:t>w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> 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zakresie udzielania świadczeń zdrowotnych </w:t>
      </w:r>
      <w:r w:rsidR="006066B0" w:rsidRPr="006066B0">
        <w:rPr>
          <w:b/>
          <w:bCs/>
          <w:sz w:val="28"/>
          <w:szCs w:val="28"/>
        </w:rPr>
        <w:t>– wykonywanie badań laboratoryjnych, przez okres 36 miesięcy</w:t>
      </w:r>
      <w:r w:rsidRPr="006066B0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516D3A9C" w14:textId="77777777" w:rsidR="00647912" w:rsidRPr="006066B0" w:rsidRDefault="00647912" w:rsidP="00DC0252">
      <w:pPr>
        <w:rPr>
          <w:b/>
          <w:bCs/>
          <w:sz w:val="28"/>
          <w:szCs w:val="28"/>
        </w:rPr>
      </w:pP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6066B0" w:rsidRDefault="00CA3004" w:rsidP="00CA3004">
      <w:pPr>
        <w:pStyle w:val="Akapitzlist"/>
        <w:ind w:left="794"/>
        <w:rPr>
          <w:rStyle w:val="Wyrnienieintensywne"/>
          <w:strike/>
        </w:rPr>
      </w:pPr>
      <w:r w:rsidRPr="006066B0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6066B0" w:rsidRDefault="00CA3004" w:rsidP="00CA3004">
      <w:pPr>
        <w:pStyle w:val="Akapitzlist"/>
        <w:ind w:left="794"/>
        <w:rPr>
          <w:strike/>
        </w:rPr>
      </w:pPr>
      <w:r w:rsidRPr="006066B0">
        <w:rPr>
          <w:strike/>
        </w:rPr>
        <w:t>ul. ............................................................................... nr ……</w:t>
      </w:r>
      <w:r w:rsidR="00BB573A" w:rsidRPr="006066B0">
        <w:rPr>
          <w:strike/>
        </w:rPr>
        <w:t>……</w:t>
      </w:r>
      <w:r w:rsidRPr="006066B0">
        <w:rPr>
          <w:strike/>
        </w:rPr>
        <w:t xml:space="preserve">…… </w:t>
      </w:r>
    </w:p>
    <w:p w14:paraId="036E605A" w14:textId="135A36D2" w:rsidR="00CA3004" w:rsidRPr="006066B0" w:rsidRDefault="00CA3004" w:rsidP="00CA3004">
      <w:pPr>
        <w:pStyle w:val="Akapitzlist"/>
        <w:ind w:left="794"/>
        <w:rPr>
          <w:strike/>
        </w:rPr>
      </w:pPr>
      <w:r w:rsidRPr="006066B0">
        <w:rPr>
          <w:strike/>
        </w:rPr>
        <w:t>kod pocztowy ....................... miejscowość ..................................................</w:t>
      </w:r>
      <w:r w:rsidR="00BB573A" w:rsidRPr="006066B0">
        <w:rPr>
          <w:strike/>
        </w:rPr>
        <w:t>...</w:t>
      </w:r>
      <w:r w:rsidRPr="006066B0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F025CA9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6066B0">
        <w:rPr>
          <w:rStyle w:val="Pogrubienie"/>
        </w:rPr>
        <w:t>36</w:t>
      </w:r>
      <w:r w:rsidRPr="00BB573A">
        <w:rPr>
          <w:rStyle w:val="Pogrubienie"/>
        </w:rPr>
        <w:t xml:space="preserve"> miesi</w:t>
      </w:r>
      <w:r w:rsidR="006066B0">
        <w:rPr>
          <w:rStyle w:val="Pogrubienie"/>
        </w:rPr>
        <w:t>ę</w:t>
      </w:r>
      <w:r w:rsidRPr="00BB573A">
        <w:rPr>
          <w:rStyle w:val="Pogrubienie"/>
        </w:rPr>
        <w:t>c</w:t>
      </w:r>
      <w:r w:rsidR="006066B0">
        <w:rPr>
          <w:rStyle w:val="Pogrubienie"/>
        </w:rPr>
        <w:t>y</w:t>
      </w:r>
      <w:r>
        <w:t xml:space="preserve">. </w:t>
      </w:r>
    </w:p>
    <w:p w14:paraId="13B5F5E6" w14:textId="339B1D28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6066B0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23CEA3B1" w14:textId="77777777" w:rsidR="004006BF" w:rsidRDefault="00CA3004" w:rsidP="004006BF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1F1CEC82" w14:textId="4FF9235E" w:rsidR="004006BF" w:rsidRPr="004006BF" w:rsidRDefault="004006BF" w:rsidP="004006BF">
      <w:pPr>
        <w:pStyle w:val="Akapitzlist"/>
        <w:numPr>
          <w:ilvl w:val="1"/>
          <w:numId w:val="3"/>
        </w:numPr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4006BF">
        <w:rPr>
          <w:b/>
          <w:szCs w:val="24"/>
          <w:u w:val="single"/>
        </w:rPr>
        <w:t>miejsce, dni i godziny udzielania świadczeń, sposób kontaktowania się oraz inne niezbędne informacje do prawidłowej realizacji przedmiotowych świadczeń zdrowotnych</w:t>
      </w:r>
      <w:r w:rsidRPr="004006BF">
        <w:rPr>
          <w:b/>
          <w:szCs w:val="24"/>
        </w:rPr>
        <w:t xml:space="preserve">: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895"/>
        <w:gridCol w:w="2979"/>
        <w:gridCol w:w="2816"/>
      </w:tblGrid>
      <w:tr w:rsidR="004006BF" w:rsidRPr="004006BF" w14:paraId="0B34109E" w14:textId="77777777" w:rsidTr="004006BF">
        <w:tc>
          <w:tcPr>
            <w:tcW w:w="1803" w:type="dxa"/>
            <w:vAlign w:val="center"/>
          </w:tcPr>
          <w:p w14:paraId="182232A0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Miejsce wykonywania badań laboratoryjnych</w:t>
            </w:r>
          </w:p>
        </w:tc>
        <w:tc>
          <w:tcPr>
            <w:tcW w:w="1895" w:type="dxa"/>
            <w:vAlign w:val="center"/>
          </w:tcPr>
          <w:p w14:paraId="72FCEEE7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2979" w:type="dxa"/>
            <w:vAlign w:val="center"/>
          </w:tcPr>
          <w:p w14:paraId="6C65F865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Sposób kontaktowania się w sprawie realizacji przedmiotu umowy (imiona i nazwiska wraz z numerami telefonów osób do kontaktu)</w:t>
            </w:r>
          </w:p>
        </w:tc>
        <w:tc>
          <w:tcPr>
            <w:tcW w:w="2816" w:type="dxa"/>
            <w:vAlign w:val="center"/>
          </w:tcPr>
          <w:p w14:paraId="1EF72ADD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4006BF" w:rsidRPr="004006BF" w14:paraId="233C9AA2" w14:textId="77777777" w:rsidTr="004006BF">
        <w:tc>
          <w:tcPr>
            <w:tcW w:w="1803" w:type="dxa"/>
            <w:vAlign w:val="center"/>
          </w:tcPr>
          <w:p w14:paraId="676E36F1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D3E2814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8C6185C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C54DA49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91D4F9D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5489066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0BD87A77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0ADEDFCE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8E50D2" w14:textId="77777777" w:rsidR="00BD0550" w:rsidRPr="00BD0550" w:rsidRDefault="00BD0550" w:rsidP="00BD0550">
      <w:pPr>
        <w:pStyle w:val="Akapitzlist"/>
        <w:ind w:left="794"/>
        <w:rPr>
          <w:rStyle w:val="Pogrubienie"/>
          <w:b w:val="0"/>
          <w:bCs w:val="0"/>
        </w:rPr>
      </w:pPr>
    </w:p>
    <w:p w14:paraId="037CF769" w14:textId="022D151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21CAD" w14:textId="77777777" w:rsidR="00646151" w:rsidRDefault="00646151" w:rsidP="00BB573A">
      <w:pPr>
        <w:pStyle w:val="Akapitzlist"/>
        <w:ind w:left="794"/>
      </w:pPr>
    </w:p>
    <w:p w14:paraId="31A9709E" w14:textId="77777777" w:rsidR="00646151" w:rsidRDefault="00646151" w:rsidP="00BB573A">
      <w:pPr>
        <w:pStyle w:val="Akapitzlist"/>
        <w:ind w:left="794"/>
      </w:pPr>
    </w:p>
    <w:p w14:paraId="122F0234" w14:textId="77777777" w:rsidR="004006BF" w:rsidRDefault="004006BF" w:rsidP="00BB573A">
      <w:pPr>
        <w:pStyle w:val="Akapitzlist"/>
        <w:ind w:left="794"/>
      </w:pPr>
    </w:p>
    <w:p w14:paraId="4A4595A8" w14:textId="530A49E8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74DA42DE" w14:textId="77777777" w:rsidR="0034569F" w:rsidRDefault="00CA3004" w:rsidP="00BB573A">
      <w:pPr>
        <w:pStyle w:val="Akapitzlist"/>
        <w:ind w:left="794"/>
      </w:pPr>
      <w:r>
        <w:t>pieczątka</w:t>
      </w:r>
      <w:r w:rsidR="00DB1182">
        <w:t xml:space="preserve"> i </w:t>
      </w:r>
      <w:r>
        <w:t>podpis Oferenta</w:t>
      </w:r>
    </w:p>
    <w:p w14:paraId="6AFE31CE" w14:textId="77777777" w:rsidR="004006BF" w:rsidRDefault="004006BF" w:rsidP="00646151">
      <w:pPr>
        <w:pStyle w:val="Akapitzlist"/>
        <w:spacing w:line="240" w:lineRule="auto"/>
        <w:ind w:left="794"/>
        <w:rPr>
          <w:rStyle w:val="Pogrubienie"/>
          <w:color w:val="FF0000"/>
          <w:sz w:val="20"/>
          <w:szCs w:val="20"/>
        </w:rPr>
      </w:pPr>
    </w:p>
    <w:p w14:paraId="33730014" w14:textId="77777777" w:rsidR="004006BF" w:rsidRDefault="004006BF" w:rsidP="00646151">
      <w:pPr>
        <w:pStyle w:val="Akapitzlist"/>
        <w:spacing w:line="240" w:lineRule="auto"/>
        <w:ind w:left="794"/>
        <w:rPr>
          <w:rStyle w:val="Pogrubienie"/>
          <w:color w:val="FF0000"/>
          <w:sz w:val="20"/>
          <w:szCs w:val="20"/>
        </w:rPr>
      </w:pPr>
    </w:p>
    <w:p w14:paraId="05A0CEF6" w14:textId="34C98EAB" w:rsidR="0043411D" w:rsidRPr="00646151" w:rsidRDefault="0043411D" w:rsidP="00646151">
      <w:pPr>
        <w:pStyle w:val="Akapitzlist"/>
        <w:spacing w:line="240" w:lineRule="auto"/>
        <w:ind w:left="794"/>
        <w:rPr>
          <w:sz w:val="20"/>
          <w:szCs w:val="20"/>
        </w:rPr>
        <w:sectPr w:rsidR="0043411D" w:rsidRPr="00646151" w:rsidSect="00BB573A">
          <w:footerReference w:type="default" r:id="rId8"/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 w:rsidRPr="00646151">
        <w:rPr>
          <w:rStyle w:val="Pogrubienie"/>
          <w:color w:val="FF0000"/>
          <w:sz w:val="20"/>
          <w:szCs w:val="20"/>
        </w:rPr>
        <w:t>Uwaga: W celu uniknięcia wezwania do uzupełnienia oferty oraz przedłużania tym czasu trwania postępowania konkursowego proszę wypełnić wszystkie kolumny.</w:t>
      </w:r>
    </w:p>
    <w:p w14:paraId="1CF674F0" w14:textId="4F6CE29E" w:rsidR="00CA3004" w:rsidRDefault="0034569F" w:rsidP="001403C3">
      <w:pPr>
        <w:pStyle w:val="Akapitzlist"/>
        <w:ind w:left="0"/>
      </w:pPr>
      <w:r>
        <w:lastRenderedPageBreak/>
        <w:t xml:space="preserve">dot. Postępowania konkursowego nr </w:t>
      </w:r>
      <w:r w:rsidR="006066B0">
        <w:t>15</w:t>
      </w:r>
      <w:r>
        <w:t>/2025 obejmującego zamówienie</w:t>
      </w:r>
      <w:r w:rsidR="00DB1182">
        <w:t xml:space="preserve"> w </w:t>
      </w:r>
      <w:r>
        <w:t xml:space="preserve">zakresie udzielania świadczeń zdrowotnych </w:t>
      </w:r>
      <w:r w:rsidR="006066B0">
        <w:t>– wykonywanie badań laboratoryjnych, przez okres 36 miesięcy</w:t>
      </w:r>
      <w:r>
        <w:t>.</w:t>
      </w:r>
    </w:p>
    <w:p w14:paraId="5BA4C751" w14:textId="77777777" w:rsidR="00646151" w:rsidRDefault="00646151" w:rsidP="001403C3">
      <w:pPr>
        <w:pStyle w:val="Akapitzlist"/>
        <w:ind w:left="0"/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023"/>
        <w:gridCol w:w="1177"/>
        <w:gridCol w:w="1202"/>
        <w:gridCol w:w="9"/>
        <w:gridCol w:w="1297"/>
        <w:gridCol w:w="751"/>
        <w:gridCol w:w="1092"/>
        <w:gridCol w:w="1276"/>
        <w:gridCol w:w="1134"/>
      </w:tblGrid>
      <w:tr w:rsidR="00D130EE" w:rsidRPr="00D130EE" w14:paraId="58AD2F65" w14:textId="77777777" w:rsidTr="00D130EE">
        <w:trPr>
          <w:cantSplit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2893" w14:textId="77777777" w:rsidR="00D130EE" w:rsidRPr="00D130EE" w:rsidRDefault="00D130EE" w:rsidP="00D130EE">
            <w:pPr>
              <w:pStyle w:val="Nagwek5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Pakiet 1 –  Badania laboratoryjne</w:t>
            </w:r>
          </w:p>
        </w:tc>
      </w:tr>
      <w:tr w:rsidR="00D130EE" w:rsidRPr="00820122" w14:paraId="1BA19411" w14:textId="77777777" w:rsidTr="00D130EE">
        <w:trPr>
          <w:cantSplit/>
          <w:trHeight w:val="46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0250A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A0F7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Nazwa badania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0DD47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Materiał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5B373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Szacunkowa liczba badań</w:t>
            </w:r>
          </w:p>
          <w:p w14:paraId="40F227A2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w okresie</w:t>
            </w:r>
          </w:p>
          <w:p w14:paraId="24E73810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78DB" w14:textId="157C07C1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Cena jednostk</w:t>
            </w:r>
            <w:r w:rsidR="0043411D">
              <w:rPr>
                <w:rFonts w:ascii="Calibri" w:hAnsi="Calibri" w:cs="Calibri"/>
                <w:sz w:val="20"/>
                <w:szCs w:val="20"/>
              </w:rPr>
              <w:t>owa</w:t>
            </w:r>
            <w:r w:rsidRPr="00820122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F487F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netto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CE8F0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0E686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brutto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8A62" w14:textId="77777777" w:rsidR="00D130EE" w:rsidRPr="00FD603D" w:rsidRDefault="00D130EE" w:rsidP="00A4541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603D">
              <w:rPr>
                <w:rFonts w:ascii="Calibri" w:hAnsi="Calibri" w:cs="Calibri"/>
                <w:sz w:val="18"/>
                <w:szCs w:val="18"/>
              </w:rPr>
              <w:t>Max. termin</w:t>
            </w:r>
            <w:r w:rsidRPr="00FD603D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FD603D">
              <w:rPr>
                <w:rFonts w:ascii="Calibri" w:hAnsi="Calibri" w:cs="Calibri"/>
                <w:sz w:val="18"/>
                <w:szCs w:val="18"/>
              </w:rPr>
              <w:t>wykonania badania</w:t>
            </w:r>
          </w:p>
        </w:tc>
      </w:tr>
      <w:tr w:rsidR="00D130EE" w:rsidRPr="00820122" w14:paraId="73326544" w14:textId="77777777" w:rsidTr="00D130EE">
        <w:trPr>
          <w:trHeight w:val="232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A081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487B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71D8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541D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B1DC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661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05CA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DD9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3EE8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7FFE124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3D2B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CD3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Mioglobina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B3C4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52BD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FB71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FBAF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51E4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582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9898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2428E1F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036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BF11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Hemoglobina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glikowana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HbA1C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BD59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osocze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D04F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BFF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8FAF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1B0F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E297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A06E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1EDCA35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1336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D76C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Fosfataza kwaśna - (ACP)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201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1E93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DCAC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9640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E2BD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3C64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A1AA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130EE" w:rsidRPr="00820122" w14:paraId="7922281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2854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F3A9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Fosfataza zasadowa izoenzym kostny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EE1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80C4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B83D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A19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D6A4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539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DE47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19650DC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9783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598B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Lipaza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184C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03C6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B3C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3397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1733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EA42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D5B5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D130EE" w:rsidRPr="00820122" w14:paraId="261CDE5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DDBC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A81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Lit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DDCF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3819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F7A1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B7DF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CAD7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6CF2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5AB6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7B1E325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AFBB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746D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Helicobacter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pylori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6CA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2C00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587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57BD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DBFE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8BD7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A4ED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ED4EDB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16F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3AFD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Rotawirusy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w kale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C8D3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32C5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99F0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6FF6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0D1E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09F2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738A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1EDCC3E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0E60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5F5F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Kał Giardia lamblia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A5A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874C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4D71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CA00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22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EB7E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1DC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8EB038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4CE7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5DC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FT3 -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wolne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T3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A72E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62EE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450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235D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8AF2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5606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F864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F93E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D130EE" w:rsidRPr="00820122" w14:paraId="6802F9A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230D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9C01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ACTH – hormon  </w:t>
            </w:r>
          </w:p>
          <w:p w14:paraId="705B0D8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Adrenokortykotropowy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3698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osocze</w:t>
            </w:r>
          </w:p>
          <w:p w14:paraId="19937C2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2C4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660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E158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BAC1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9B7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80B3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3322420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11A4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99A4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Witamina D3</w:t>
            </w:r>
          </w:p>
          <w:p w14:paraId="6C30DED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metabolit 25(OH)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12B9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  <w:tab w:val="center" w:pos="605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2A2F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A66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6EB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EBF8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73A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9BBB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5ABBEBE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BE06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BE14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Witamina B12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E13D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  <w:tab w:val="center" w:pos="605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B2D8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DECB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A7C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871B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E3D5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3E24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41730D2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9BE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C27A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Testosteron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AB11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  <w:tab w:val="center" w:pos="605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8EE1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B24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654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C3F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5AB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D4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0C4236A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B7E6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C55D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Prolaktyna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4C8B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  <w:tab w:val="center" w:pos="605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5824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4B20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F236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D938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D14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74B5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46A0EBB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5E2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170D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Kortyzol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38E9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1716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8215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48F0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FD9D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4957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8102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26CBB04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0421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37DE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Kortyzol w DZM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2378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mocz/DZM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EE6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E3C9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6FA3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9106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264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6CE0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0CAC480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6485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31E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PSA całkowity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53D8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EAC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D083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044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3902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DC5F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15FF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797E500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3E33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0E1C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PSA wolny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1F0C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F9EB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8E62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2B3B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496B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6EFA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3C4B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1CF8AD8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366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D71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CEA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0BCA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2612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70DF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421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3E8A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25F3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C5C9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635A982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5CF0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37E0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Ca 19-9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7C25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85D7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D62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379C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3A3A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B22A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C3AD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0282FFA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240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FC4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Ca 125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4E9D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A9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04FF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75A7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579F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5D00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B673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39B02BF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5466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B073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Immunoglobuliny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5DB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DB3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E0E9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9EC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4101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9B16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542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7A86BAD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267A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E9CB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Immunoglobuliny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E599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0CD0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65C1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89F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497A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DF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3977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3B3BB7D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F22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945A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Immunoglobuliny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1A59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AFCE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522B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125B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18F0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9422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AE18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7FEBF83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86FD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8A3C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Immunoglobuliny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całkowite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F637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surowica/</w:t>
            </w:r>
          </w:p>
          <w:p w14:paraId="79473D6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osocze heparyna litowa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26E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61D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8BE8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344C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31F9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F1F9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2C63CEA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E225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7F45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Immunoglobuliny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w PMR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48E4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4401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BB8E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3EA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97AE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DF18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68AB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5F25D2D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B4CB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AA18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Immunoglobuliny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w PMR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2C55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8FDD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EB7C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E5B7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A0D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27CA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4C1A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4B8AAE2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79F7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E362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Ceruloplazmina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07BC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8E2D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468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D522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49DB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28A1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922D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53BB6D13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025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B7F1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7C47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8CFA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37CB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3FE5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0967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809D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DB3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441CA3D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448A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4AF0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 IgG w PMR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A558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04E0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D18C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BC49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715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3A45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4C0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6444727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734A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C66B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DC8E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1563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350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5E92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D6CB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02DC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E75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CD4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5111B1B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8B96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E0FE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 IgM w PMR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5803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5844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10CE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8199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96C8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527E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8668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2086321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C8D0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336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wskaźnik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PMR/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D67D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+ 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600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1939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786F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1436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40E4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397D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2F10A87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409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9C43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 w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surowicy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 PMR met. Western-Blot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91FE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+ 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A14B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BAD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E2FE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FB4E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C375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3153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39EE9DA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B581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E233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Borelioza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 w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surowicy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 PMR met. Western-Blot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916A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+ 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69DD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2428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E434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8C52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03D6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FDF1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6B3F41C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29B6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1B8A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Anaplasma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phagocytophilum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met.IIF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5DBE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0E7D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A15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945D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954F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E993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7F5D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0DF6A5A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B2EC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D9C9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Anaplasma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phagocytophilum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met.IIF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E590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3BA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49A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0C9F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B07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BE95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2E70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1BA22C6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DDFE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211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Bartoneloza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 met. IIF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870F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20A1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92EA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0906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3B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B2C4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F905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1D6BC96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605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F9E0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Bartoneloza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 met. IIF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5E9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DC3F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2C7A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1EFB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131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79B3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9A35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0DBE28F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9250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DECB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Choroba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kociego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pazura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(Bartonella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henselae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, Bartonella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quintana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) IgG,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DD47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7E8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15FC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4164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A7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654D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2B3F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5957097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5CA8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80F4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Krztusiec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anty-toksyna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Bordatella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pectusis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F46B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913E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E5A7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077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E93E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DFE7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8998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F9FCF4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EFC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195C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Krztusiec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anty-toksyna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Bordatella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pectusis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CDFD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348E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19B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5549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B9C3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3F47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66C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0C10519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03DA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9E09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Krztusiec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anty-toksyna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Bordatella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pectusis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A188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B25A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FEC6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E085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3877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C19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3430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33AB0AA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60D9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C1C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Bruceloza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EC9E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D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F19D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0602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5470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C9D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99DE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4537DB5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5300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0DB6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Bruceloza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CF9B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4EDD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4734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7F49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E1CD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6415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5BED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2A0621B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71F4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8C6B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Bąblowica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(Echinococcus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granulosus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) met Western-Blot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CD42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34B9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8740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891D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0397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8E82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E6E3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1D51C19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87A7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134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Bąblowica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(Echinococcus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multilocularis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) met Western-Blot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361C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B317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4723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EDB1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6ACF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288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0F63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698C84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A1F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C4DB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Toksoplazmoza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E210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6B2B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B26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3F64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C1D9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735B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498D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2126857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8008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9A98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Toksoplazmoza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IgG + IgM w PMR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9F33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3736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EC64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A654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CC89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8E4C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CC96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0BFB91A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A663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12DB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Toksoplazmoza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3B37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91BA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600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772D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DAEC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5ACF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9D9A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E8AB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7EF068D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F762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3AE3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Toksoplazmoza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IgM w PMR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0941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CFE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FA8B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7E38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149B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7271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2624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768F84E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2413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DB23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Toksoplazma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gondii IgG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awidność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B389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679F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2617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1A61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D790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7DB2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E4A9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4E47440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A5EC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379A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CMV (Cytomegalovirus)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F92E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466F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700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ED58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2F7C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9908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A33B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F589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0480B70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A3F0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FB72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CMV (Cytomegalovirus) IgM 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1DF9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C1CF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1146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80B2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CF2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51D8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9ADE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5EF01FC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97D8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1678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CMV (Cytomegalovirus) IgG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awidność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E7F5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F9E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DE49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74E3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1951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2454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8F3D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6D8A640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0F66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B69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HSV IgG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jakościowo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EC5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A5FC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97E4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D748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C54F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F74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F2D5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1DE8513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D28A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781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HSV IgM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Jakościowo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4FA1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7E2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4A1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4A5A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4B17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175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1612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CF66EF3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41C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791B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Różyczka (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Rubella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virus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ABB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05E2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992A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BF4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5FE1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6CB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51A7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4D16E18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B40E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6F6C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Różyczka (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Rubella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virus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)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F88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A308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3CBA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8E37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B3A9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3EEC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C110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70B1DE9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624A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8C7C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Chlamydia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trachomatis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4DE1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9A73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017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1D7E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53A3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76D1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17AD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4A2A46D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472C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4819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Chlamydia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trachomatis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BEEA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F0EA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1E6E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4C5C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509B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171F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E01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2E4B1E4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B9AD0" w14:textId="77777777" w:rsidR="00D130EE" w:rsidRPr="00B81217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217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F0411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 xml:space="preserve">Chlamydia </w:t>
            </w:r>
            <w:proofErr w:type="spellStart"/>
            <w:r w:rsidRPr="00B81217">
              <w:rPr>
                <w:rFonts w:ascii="Calibri" w:eastAsia="SimSun" w:hAnsi="Calibri" w:cs="Calibri"/>
                <w:sz w:val="20"/>
                <w:szCs w:val="20"/>
              </w:rPr>
              <w:t>pneumoniae</w:t>
            </w:r>
            <w:proofErr w:type="spellEnd"/>
            <w:r w:rsidRPr="00B81217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proofErr w:type="spellStart"/>
            <w:r w:rsidRPr="00B81217">
              <w:rPr>
                <w:rFonts w:ascii="Calibri" w:eastAsia="SimSun" w:hAnsi="Calibri" w:cs="Calibri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BC63B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0BF45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67B07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AA7E3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7A27A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11B8E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AEC61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8121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D130EE" w:rsidRPr="00820122" w14:paraId="2545AD3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4755D" w14:textId="77777777" w:rsidR="00D130EE" w:rsidRPr="00B81217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217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72AC7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 xml:space="preserve">Chlamydia </w:t>
            </w:r>
            <w:proofErr w:type="spellStart"/>
            <w:r w:rsidRPr="00B81217">
              <w:rPr>
                <w:rFonts w:ascii="Calibri" w:eastAsia="SimSun" w:hAnsi="Calibri" w:cs="Calibri"/>
                <w:sz w:val="20"/>
                <w:szCs w:val="20"/>
              </w:rPr>
              <w:t>pneumoniae</w:t>
            </w:r>
            <w:proofErr w:type="spellEnd"/>
            <w:r w:rsidRPr="00B81217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proofErr w:type="spellStart"/>
            <w:r w:rsidRPr="00B81217">
              <w:rPr>
                <w:rFonts w:ascii="Calibri" w:eastAsia="SimSun" w:hAnsi="Calibri" w:cs="Calibri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104C2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0790B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06A6B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7963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0C82B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C078B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A24E2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8121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D130EE" w:rsidRPr="00820122" w14:paraId="47C4D41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3233E" w14:textId="77777777" w:rsidR="00D130EE" w:rsidRPr="00B81217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121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C02EC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 xml:space="preserve">Chlamydia </w:t>
            </w:r>
            <w:proofErr w:type="spellStart"/>
            <w:r w:rsidRPr="00B81217">
              <w:rPr>
                <w:rFonts w:ascii="Calibri" w:eastAsia="SimSun" w:hAnsi="Calibri" w:cs="Calibri"/>
                <w:sz w:val="20"/>
                <w:szCs w:val="20"/>
              </w:rPr>
              <w:t>pneumoniae</w:t>
            </w:r>
            <w:proofErr w:type="spellEnd"/>
            <w:r w:rsidRPr="00B81217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proofErr w:type="spellStart"/>
            <w:r w:rsidRPr="00B81217">
              <w:rPr>
                <w:rFonts w:ascii="Calibri" w:eastAsia="SimSun" w:hAnsi="Calibri" w:cs="Calibri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0C40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7B80A" w14:textId="77777777" w:rsidR="00D130EE" w:rsidRPr="00B81217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B81217">
              <w:rPr>
                <w:rFonts w:ascii="Calibri" w:eastAsia="SimSun" w:hAnsi="Calibri" w:cs="Calibri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015E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D53A7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F2C12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A98CA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44697" w14:textId="77777777" w:rsidR="00D130EE" w:rsidRPr="00B81217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8121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D130EE" w:rsidRPr="00820122" w14:paraId="0ABC3CC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949E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4EAB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Helicobacter pylori p/c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CAF5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8B8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C3A8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DF73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2501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7BBB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9B6F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58A7626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6AF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5BEE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Helicobacter pylori p/c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8914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A654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D154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5808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0CF6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6EC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358E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464C63A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5D47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4C00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Listeria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monocytogenes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met. IIF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7D4D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CFF1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FE2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E08F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FF4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FA02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EF65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11583D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802E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3BD0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Listeria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monocytogenes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met. IIF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73AB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4466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E125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936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A24E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163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4E0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7C1FF22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ED81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5E60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Pneumocystis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carinii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met.IIF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60F9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1735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3B09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B84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9D9D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5D54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4FBE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32453AA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AA9D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D8B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Mycoplasma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pneumoniae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304C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BE1C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03BD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B70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EF8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519F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102C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1EA97A3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7094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AE97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Mycoplasma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pneumoniae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495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540E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8AD2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579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8B61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F6A7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3978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14E6932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D40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517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Wirus ZIKA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2D15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5176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E768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C97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DA54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A7B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582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0DA1E0C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827D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D59C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Chikungunya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8FC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B50C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71A6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53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5B8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975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7EAA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039D990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949E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3DB7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Chikungunya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7037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D2F5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E1C8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8836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556D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142D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DBF3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145ADE3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07D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DB7B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EBV(Epstein-Barr virus) IgG, IgM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profil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CF36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31BD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034B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324F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F46A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5F3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8E0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4FDB88E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AA05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61FB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EBV(Epstein-Barr virus)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AAD5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5C2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4794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D26E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654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EF89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4BC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0013B13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FD29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FDE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EBV(Epstein-Barr virus) 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2A97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B06B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CF92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E941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37E1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8DC0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D975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17815E1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123F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E07B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Gorączka Denga IgG I IgM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B9D9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99FE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79CA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1C7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23E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6E58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387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60FD6FC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37F2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2037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Malaria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jakościowo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BAF3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osocze 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DB9C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DF22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04FD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3940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3E0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2BE5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72C90EC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843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AA75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Malaria (Plasmodium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spp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parazytemia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badanie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mikroskopowe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krwi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2968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 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5EF3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        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61A7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1539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A3E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97DA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74ED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38919D9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A179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71AD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Toxokaroza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Toxocara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canis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)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CE1E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2245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1E6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38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7B22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9856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FFCC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130EE" w:rsidRPr="00820122" w14:paraId="3CCD2CE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752E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C98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P/c przeciw gliście ludzkiej 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416D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EA1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FC3C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74B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4E01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52C3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E28B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15B7B54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F8E4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174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Odra (Morbilli virus)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6B31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1717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AC2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7E51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D3D3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30D6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E8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49216AB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D94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86D8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Odra (Morbilli virus)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DAE0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9226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A5CB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34C9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D351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A61B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453D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5F30382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717B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5944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Yersinia enterocolitica: IgG, IgM, IgA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66EF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BC74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EEE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29E6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50C3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1CE6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2E8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FD9C5D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7CEF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CCC66" w14:textId="77777777" w:rsidR="00D130EE" w:rsidRPr="00AE1715" w:rsidRDefault="00D130EE" w:rsidP="00D130EE">
            <w:pPr>
              <w:pStyle w:val="Standard"/>
              <w:keepNext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357"/>
              </w:tabs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Ospa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(Varicella zoster virus)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A54F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A2D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3C52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F9DA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098E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7232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C2FF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12CB92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6B2A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06E56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Ospa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(Varicella zoster virus) IgG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9F8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5C00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B3F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63D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CC6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6452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7643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7BE2A84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A37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1DEB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Leptospiroza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p/c IgG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0B7F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E07F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3B5D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CF2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BEC4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422D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9F4D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4C2FB32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FAE2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7D82C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Leptospiroza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 xml:space="preserve"> p/c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CBB9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5851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B40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6579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C064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A201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D2E8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3C62D69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900D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2F76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HBc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przeciwciała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8F69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8DB1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9F23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D572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48D9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7C1D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3A6C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38A08D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E7F8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FF5E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Przeciwciała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anty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-HDV </w:t>
            </w: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anty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-delta)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962C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lastRenderedPageBreak/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420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2653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25BF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73F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0A50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785E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2DA1B206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263A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6744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HEV IgM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D95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0F3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69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E85C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B0A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AF73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D3F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1DBCCE4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7521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61CB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Pneumocystis carinii -</w:t>
            </w:r>
          </w:p>
          <w:p w14:paraId="1A9988A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Wymaz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D452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Wymaz na szkiełku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340C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       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A3C4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A1F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F7E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63FC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15F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01D15F6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2EF1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BD32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>Quantiferon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TB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11C4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zestaw do pobierania</w:t>
            </w:r>
          </w:p>
          <w:p w14:paraId="15E6627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(4probówki)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B86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       200</w:t>
            </w:r>
          </w:p>
          <w:p w14:paraId="53BD62F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7B2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5C16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9AED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6265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960C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5E1D38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48D2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7587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Oznaczanie antygenów krążących grzybów-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Cryptococcus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neoformans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9115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BF19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0927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F99D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D0F2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A99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9446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745E8A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C86A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7BA9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Oznaczanie antygenów krążących grzybów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Cryptococcus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E3CF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5072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F301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B78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263D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D94E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8C0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4E7BAF2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AB31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7F8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Oznaczanie przeciwciał Aspergillus 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fumigatus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B2A4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A86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639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862F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96AE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7239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50F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229A669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C7D8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8B3F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Oznaczanie przeciwciał Aspergillus 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fumigatus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D7B7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6C24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6DD4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4BAD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0010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525B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5B1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58B6E12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70F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FAF5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Oznaczanie przeciwciał Aspergillus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fumigatus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62B4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7A6C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6D60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E607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710B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11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4C85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130EE" w:rsidRPr="00820122" w14:paraId="2B42C9B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8D22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2664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Oznaczanie antygenów krążących grzybów Aspergillus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B6CD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 lub BAL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C52C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02C6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4475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243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3CC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2AB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50E21DE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07CE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41EC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Odczyn immunoenzymatyczny ELISA </w:t>
            </w: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w kierunku bąblowicy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CA97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EA59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30D1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8E0A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019B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7B62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30DB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D130EE" w:rsidRPr="00820122" w14:paraId="4282042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189B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C51A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p/c anty-MPO (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pANCA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51AE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FD3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C2D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D64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005D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CA46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AFB9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3F5289B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2C8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B75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p/c anty-PR3 (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cANCA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7A5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A5CF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DBDB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3AF5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A1CF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69F8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1D4E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CBE54D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A615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05F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p/c anty-TPO (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p.peroksydazie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tarczycy)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D4B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52CF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B56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B09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B547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346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DE31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D130EE" w:rsidRPr="00820122" w14:paraId="585CB44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A2B6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D49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p/c p.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kardiolipinie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w kl.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825C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D3DD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A746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0E46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6C1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7BDD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B104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3239E79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D205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EC94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p/c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p.kardiolipinie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w kl.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C85A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F4D5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743B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E0D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BC9B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6513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7703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6629CF4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7843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840C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p/c p.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dsDNA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A8DA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A0F4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8B9B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9477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A3F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ADE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1E7E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4147633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7CA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5485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p/c anty-GBM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62A6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636C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EC9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6D6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3A4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841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95F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0D86E2F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724C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C02A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0"/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Mleczany,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D01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Osocze (fluorek sodu)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7E5F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         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111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384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7EEC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07A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EABF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277A268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EE4B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93465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0"/>
                <w:tab w:val="left" w:pos="357"/>
              </w:tabs>
              <w:spacing w:after="60" w:line="100" w:lineRule="atLeast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Kwasy żółciowe całkowite, ilościowo 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BE07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EB33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        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DD5D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6DE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E84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4C0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E8CB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EDBA8D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5945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7978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Opiaty 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D076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21A2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2AC7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016D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BC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AB90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B40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44110563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8FA1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81B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Amfetamina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F8A1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17AF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EFD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4D8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EB50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468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01F6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3CBA93E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87A6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DDB8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Kokaina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A9BE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C0E6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0D68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244A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13AB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B20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927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4EB11E37" w14:textId="77777777" w:rsidTr="00D130EE">
        <w:trPr>
          <w:trHeight w:val="315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7DEC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9D40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Benzodiazepiny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7EDA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5FDA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00E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B92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96B2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040F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9D58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130EE" w:rsidRPr="00820122" w14:paraId="178A2A6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1081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0013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Kanabinoidy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C8BD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E0C5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C79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1BF1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D1AB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6C9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3964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78ABA9F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A1CE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4393E" w14:textId="77777777" w:rsidR="00D130EE" w:rsidRPr="00AE1715" w:rsidRDefault="00D130EE" w:rsidP="00E05E84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HIV – test potwierdzenia met. Western </w:t>
            </w:r>
            <w:proofErr w:type="spellStart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Blot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4B92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F8E1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02E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E6B3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6D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B1A6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EFC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18C96B0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5430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122E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Borelioza </w:t>
            </w:r>
            <w:proofErr w:type="spellStart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met Western-</w:t>
            </w:r>
            <w:proofErr w:type="spellStart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Blot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83B0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EB22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6286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929A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08A0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AAA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C912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1D94390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A8CB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4CDF3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Borelioza </w:t>
            </w:r>
            <w:proofErr w:type="spellStart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met Western-</w:t>
            </w:r>
            <w:proofErr w:type="spellStart"/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Blot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DC71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B5F6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6AB3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049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88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D1A9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2F0F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13D2BFA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DC6C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04B7C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Interleukina 6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C9E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  <w:lang w:val="en-US"/>
              </w:rPr>
              <w:t>surowica</w:t>
            </w:r>
            <w:proofErr w:type="spellEnd"/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ABEC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55E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C24D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F3E2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122E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500F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00BADFA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00F5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8442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HCV RNA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A9E8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44A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</w:t>
            </w: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4057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3CDF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C3E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98DC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1D37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130EE" w:rsidRPr="00820122" w14:paraId="2526954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254C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ADA4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HCV RNA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439B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7A70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0A20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577A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C44F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DB46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DDD7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130EE" w:rsidRPr="00820122" w14:paraId="0F2E8F1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94CE2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76B9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GENOTYP HCV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86D5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8178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C276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A60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23D8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03B9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AE2E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46A9977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CFA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97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HBV DNA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925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38E9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1E3E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05BA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9B80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45D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4778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130EE" w:rsidRPr="00820122" w14:paraId="021AF393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5413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2EA2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HBV DNA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D2BF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B6D5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 5500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E12D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6C94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59C8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2C0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ED0B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130EE" w:rsidRPr="00820122" w14:paraId="1A2C4C4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F0D1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130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HEV RNA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1462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83D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B4BE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C247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F44D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FD52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0063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33179EF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759F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2EE7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HSV DNA met. PCR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4623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41E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4182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03C1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EB5C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017D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0563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24C2BFE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B668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B38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CMV DNA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C89F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separujący/EDTA/mocz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520C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7ECC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70C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9432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1FAF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6DB9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3DF4C3C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862B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0255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CMV DNA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4E45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separujący/EDTA/mocz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92C8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37F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2427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8DC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3DE8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C004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09938C2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82E9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F592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EBV met. PCR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B028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DEAF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BBA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DAD9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85AA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9D3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8C11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D130EE" w:rsidRPr="00820122" w14:paraId="624B316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4B258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AD5A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EBV met. PCR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4237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263D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D7C3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20DA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3E10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C4C9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40E0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D130EE" w:rsidRPr="00820122" w14:paraId="7837AA4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431B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3EA6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TOXOPLAZMA GONDII DNA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4892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separujący/EDTA/PMR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E49D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3076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F0B6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346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9F9D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2014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2241621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D3DF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E04A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BORRELIA BURGDORFERII DNA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DDD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separujący/EDTA/PMR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CC3D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2128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DB5C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4AE3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BB8D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FC40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048EBEA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DFDA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9BB7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Krztusiec (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Bordatella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pectusss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Bordatella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parapectussis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) różnicowanie met. PCR,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9104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wymaz 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35EE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C59E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0A25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E34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E143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92FE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D130EE" w:rsidRPr="00820122" w14:paraId="2FA6435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4E68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BDAE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HEMOCHROMATOZA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9831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70BE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A09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173D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5B98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C23C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53CB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0EF725B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34AA9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4033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HEMOCHROMATOZA mutacja E 168x w genie HFE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D572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5A07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A47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F47A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C4E8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D2C6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CE91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D130EE" w:rsidRPr="00820122" w14:paraId="784E99D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EE22E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7CC7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MYCOBACTERIUM TUBERCULOSIS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C9FB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płyn z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j.opłucnej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48A8142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plwocina/inne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B2DB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5626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CE7C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3A4F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C671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B51D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10208A3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FA710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8FD3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SARS CoV-2 p/c anty-S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7BA5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489C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5650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05C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37DC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D0BC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93B3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4D88BCA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40BE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A145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SARS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CoV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– 2 met. 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AD22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DE54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0F7D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F8A2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3DEB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42FE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EA2C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960CB3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9802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6F25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HSV DNA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C1C6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wymaz/ płyn mózgowo-rdzeniowy/osocze 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17C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BFE2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1848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69DD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216A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CAE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3882DF9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FD6A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222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HIV RNA met. PCR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C099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8587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5D38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17C4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A52A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222B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9BF7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4E35F48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7A56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03CB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HIV RNA met. PCR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57D4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446D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E807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357A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7911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6FC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B04D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1778017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327B4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6E880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HDV RNA, PCR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2549B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4C3E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C70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80B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144C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92F2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04B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D130EE" w:rsidRPr="00820122" w14:paraId="4CAB211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D4C8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F0F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Mutant wirusa HBV YMDD – oporność na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lamiwudynę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60B21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5B61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</w:p>
          <w:p w14:paraId="61C6BC8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</w:t>
            </w: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BD9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09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1289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E063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02C2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0D7CDC00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18DC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7FE82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Mutant wirusa HBV YMDD – oporność na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entekawir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B691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B631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5F53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D738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7055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4FD5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82D4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66DEF34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A71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80FC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Parwowirus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B19 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met.PCR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3068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żel separujący/EDTA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9DA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66F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D97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F2AC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9387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7DFB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752174D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6FB2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C84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Panel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Pneumionia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met PCR, Infekcje dolnych dróg oddechowych, 34 patogeny, bakterie i wirusy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9461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BAL, mini BAL, aspirat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tchawiczy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, wydzielina oddechowa do jałowego pojemnika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2318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CDB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B3B0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8F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F37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A46F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6029C0" w:rsidRPr="006029C0" w14:paraId="74797128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CCA9B" w14:textId="77777777" w:rsidR="00D130EE" w:rsidRPr="006029C0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55613" w14:textId="165CA686" w:rsidR="00D130EE" w:rsidRPr="006029C0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Panel 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resp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>. górnych dróg oddechowych, 23 patogeny, bakterie i wirusy</w:t>
            </w:r>
            <w:r w:rsidR="005F7A6B" w:rsidRPr="006029C0">
              <w:rPr>
                <w:rFonts w:ascii="Calibri" w:eastAsia="SimSun" w:hAnsi="Calibri" w:cs="Calibri"/>
                <w:sz w:val="20"/>
                <w:szCs w:val="20"/>
              </w:rPr>
              <w:t>, met. 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418D4" w14:textId="77777777" w:rsidR="00D130EE" w:rsidRPr="006029C0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wymaz  z 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nosogardzieli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podł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 UTM-RT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55A8" w14:textId="77777777" w:rsidR="00D130EE" w:rsidRPr="006029C0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E34D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7CF93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302A2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8DE97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0033F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6029C0" w:rsidRPr="006029C0" w14:paraId="2D06FA22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71399" w14:textId="77777777" w:rsidR="00D130EE" w:rsidRPr="006029C0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CF64" w14:textId="2CF46ED5" w:rsidR="00D130EE" w:rsidRPr="006029C0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Panel – zapalenie opon mózgowych (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Meningitis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), 12 patogenów, </w:t>
            </w:r>
            <w:r w:rsidR="005F7A6B" w:rsidRPr="006029C0">
              <w:rPr>
                <w:rFonts w:ascii="Calibri" w:eastAsia="SimSun" w:hAnsi="Calibri" w:cs="Calibri"/>
                <w:sz w:val="20"/>
                <w:szCs w:val="20"/>
              </w:rPr>
              <w:t xml:space="preserve">met. </w:t>
            </w:r>
            <w:r w:rsidRPr="006029C0">
              <w:rPr>
                <w:rFonts w:ascii="Calibri" w:eastAsia="SimSun" w:hAnsi="Calibri" w:cs="Calibri"/>
                <w:sz w:val="20"/>
                <w:szCs w:val="20"/>
              </w:rPr>
              <w:t>PCR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FE14" w14:textId="77777777" w:rsidR="00D130EE" w:rsidRPr="006029C0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1B6E" w14:textId="77777777" w:rsidR="00D130EE" w:rsidRPr="006029C0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150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C46D2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5A36E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B9530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757A8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AC6BC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6029C0" w:rsidRPr="006029C0" w14:paraId="61648D7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6AA09" w14:textId="77777777" w:rsidR="00D130EE" w:rsidRPr="006029C0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62A9C" w14:textId="77777777" w:rsidR="00D130EE" w:rsidRPr="006029C0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Panel infekcji urogenitalnych (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Chlemydia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Trachomatis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>/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N.Gonorhoeae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>) met. PCR jakościowo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D6895" w14:textId="77777777" w:rsidR="00D130EE" w:rsidRPr="006029C0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      wymaz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1E1AA" w14:textId="77777777" w:rsidR="00D130EE" w:rsidRPr="006029C0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FFD1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4AC38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FE27E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0E93F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0D7D2" w14:textId="77777777" w:rsidR="00D130EE" w:rsidRPr="006029C0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6029C0" w:rsidRPr="006029C0" w14:paraId="5CE94A0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7DB4" w14:textId="1F82E065" w:rsidR="005F7A6B" w:rsidRPr="006029C0" w:rsidRDefault="005F7A6B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3C2" w14:textId="164C3C41" w:rsidR="005F7A6B" w:rsidRPr="006029C0" w:rsidRDefault="005F7A6B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Małpia ospa (</w:t>
            </w:r>
            <w:proofErr w:type="spellStart"/>
            <w:r w:rsidRPr="006029C0">
              <w:rPr>
                <w:rFonts w:ascii="Calibri" w:eastAsia="SimSun" w:hAnsi="Calibri" w:cs="Calibri"/>
                <w:sz w:val="20"/>
                <w:szCs w:val="20"/>
              </w:rPr>
              <w:t>Mpox</w:t>
            </w:r>
            <w:proofErr w:type="spellEnd"/>
            <w:r w:rsidRPr="006029C0">
              <w:rPr>
                <w:rFonts w:ascii="Calibri" w:eastAsia="SimSun" w:hAnsi="Calibri" w:cs="Calibri"/>
                <w:sz w:val="20"/>
                <w:szCs w:val="20"/>
              </w:rPr>
              <w:t>) met  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40C80" w14:textId="69FFE555" w:rsidR="005F7A6B" w:rsidRPr="006029C0" w:rsidRDefault="005F7A6B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eastAsia="SimSun" w:hAnsi="Calibri" w:cs="Calibri"/>
                <w:sz w:val="20"/>
                <w:szCs w:val="20"/>
              </w:rPr>
            </w:pPr>
            <w:r w:rsidRPr="006029C0">
              <w:rPr>
                <w:rFonts w:ascii="Calibri" w:eastAsia="SimSun" w:hAnsi="Calibri" w:cs="Calibri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047DE" w14:textId="43852F0E" w:rsidR="005F7A6B" w:rsidRPr="006029C0" w:rsidRDefault="005F7A6B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1E06C" w14:textId="77777777" w:rsidR="005F7A6B" w:rsidRPr="006029C0" w:rsidRDefault="005F7A6B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B61BB" w14:textId="77777777" w:rsidR="005F7A6B" w:rsidRPr="006029C0" w:rsidRDefault="005F7A6B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11C3F" w14:textId="77777777" w:rsidR="005F7A6B" w:rsidRPr="006029C0" w:rsidRDefault="005F7A6B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58A83" w14:textId="77777777" w:rsidR="005F7A6B" w:rsidRPr="006029C0" w:rsidRDefault="005F7A6B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F6D19" w14:textId="676B06E6" w:rsidR="005F7A6B" w:rsidRPr="006029C0" w:rsidRDefault="005F7A6B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029C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D130EE" w:rsidRPr="00820122" w14:paraId="0204463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524CA" w14:textId="32A28D89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1498E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Zespół Gilberta met. Biol.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Molek</w:t>
            </w:r>
            <w:proofErr w:type="spellEnd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F7CD7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51D0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202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C33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E1EE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4126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1EF4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00ECAB67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57467" w14:textId="60616FFB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F92DF" w14:textId="77777777" w:rsidR="00D130EE" w:rsidRPr="00AE1715" w:rsidRDefault="00D130EE" w:rsidP="00E05E84">
            <w:pPr>
              <w:pStyle w:val="Standard"/>
              <w:keepNext/>
              <w:widowControl w:val="0"/>
              <w:tabs>
                <w:tab w:val="left" w:pos="357"/>
              </w:tabs>
              <w:spacing w:after="60" w:line="100" w:lineRule="atLeast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Określanie mutacji lekooporności wirusa HCV w regionie NS5A (w tym: Y93H, Q54H/N, H58D/P/R) oraz NS3 (w tym Y56H, D168A/F/H/N/Y, V55I, H58D, S122A/G/R, I132V, R155K/T, A156T/S/V, V/I170A/T/L) metodą sekwencjonowania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264BB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before="240" w:after="60" w:line="100" w:lineRule="atLeast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osocze/</w:t>
            </w:r>
          </w:p>
          <w:p w14:paraId="709F2D1A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before="240" w:after="60" w:line="100" w:lineRule="atLeast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2301D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C912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EC4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DC76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58D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8003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130EE" w:rsidRPr="00820122" w14:paraId="610B9F3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84019" w14:textId="56DF191C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FC2F8" w14:textId="77777777" w:rsidR="00D130EE" w:rsidRPr="00AE1715" w:rsidRDefault="00D130EE" w:rsidP="00A45417">
            <w:pPr>
              <w:pStyle w:val="Standard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Cryptosporidium</w:t>
            </w:r>
            <w:proofErr w:type="spellEnd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parvum</w:t>
            </w:r>
            <w:proofErr w:type="spellEnd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Giardia lamblia, antygen w kale met. </w:t>
            </w: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Immunochromatograficzną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778C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kał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2245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8B0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8635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6DBF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2504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E85B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30EE" w:rsidRPr="00820122" w14:paraId="7731B16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82A9" w14:textId="0C35A44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95A46" w14:textId="77777777" w:rsidR="00D130EE" w:rsidRPr="00AE1715" w:rsidRDefault="00D130EE" w:rsidP="00A45417">
            <w:pPr>
              <w:pStyle w:val="Standard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TBE (wirus kleszczowego zapalenia mózgu) </w:t>
            </w: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8F0D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C57E5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4ECB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92FE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0409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B6C6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B5D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7E6D3EB9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0D1C8" w14:textId="7887A6E3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CB335" w14:textId="77777777" w:rsidR="00D130EE" w:rsidRPr="00AE1715" w:rsidRDefault="00D130EE" w:rsidP="00A45417">
            <w:pPr>
              <w:pStyle w:val="Standard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TBE (wirus kleszczowego zapalenia mózgu) </w:t>
            </w: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3D20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CD48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CF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1A5D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2EEB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B8C6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6740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33F1E48B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C42C8" w14:textId="162D5B11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ACAFF" w14:textId="77777777" w:rsidR="00D130EE" w:rsidRPr="00AE1715" w:rsidRDefault="00D130EE" w:rsidP="00A45417">
            <w:pPr>
              <w:pStyle w:val="Standard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TBE (wirus kleszczowego zapalenia mózgu) </w:t>
            </w: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786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 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999C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D2E0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B880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508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70D6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B0C4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D130EE" w:rsidRPr="00820122" w14:paraId="51B99D8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9748C" w14:textId="0089EF2D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906B5" w14:textId="77777777" w:rsidR="00D130EE" w:rsidRPr="00AE1715" w:rsidRDefault="00D130EE" w:rsidP="00A45417">
            <w:pPr>
              <w:pStyle w:val="Standard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TBE (wirus kleszczowego zapalenia mózgu) </w:t>
            </w:r>
            <w:proofErr w:type="spellStart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AE1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met. ELISA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3448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8520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064E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B19B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6D66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F5F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5701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1AF4ECDF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E5F2C" w14:textId="6754BDBA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60E39" w14:textId="77777777" w:rsidR="00D130EE" w:rsidRPr="00AE1715" w:rsidRDefault="00D130EE" w:rsidP="00A45417">
            <w:pPr>
              <w:pStyle w:val="Standard"/>
              <w:tabs>
                <w:tab w:val="left" w:pos="357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Poliomawirus</w:t>
            </w:r>
            <w:proofErr w:type="spellEnd"/>
            <w:r w:rsidRPr="00AE171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(JCV) we krwi lub PMR met. PCR –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C887C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Surowica/</w:t>
            </w:r>
          </w:p>
          <w:p w14:paraId="495CC67A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PMR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7107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F460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F29A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CD5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C5CA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B129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0BE631D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FDB77" w14:textId="5600E398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3346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HLA B * 57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3AE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6371C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D17C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6B2C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5ECB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7E41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5AFC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188758D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4A24" w14:textId="4FD31F38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2FC6D" w14:textId="77777777" w:rsidR="00D130EE" w:rsidRPr="00AE1715" w:rsidRDefault="00D130EE" w:rsidP="00D130EE">
            <w:pPr>
              <w:pStyle w:val="Standard"/>
              <w:keepNext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FTA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AC80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873B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C5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70B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B0B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7B5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B30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488E0E5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A0D3" w14:textId="45B9AD55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17007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FTA ABS 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3B14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F0F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E386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E7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0929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B7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E01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30EE" w:rsidRPr="00820122" w14:paraId="0A30AB2D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9626C" w14:textId="24624CBA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186E7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FTA ABS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1123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416E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F76B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AC37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99CC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02B2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52F9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7787083E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8A9C" w14:textId="596888AE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2B0F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FTA ABS  </w:t>
            </w:r>
            <w:proofErr w:type="spellStart"/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5B49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EE6E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C9C5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64B1D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500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71B1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75FE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31977EE4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41EDF" w14:textId="1993461A" w:rsidR="00D130EE" w:rsidRPr="008E020B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020B">
              <w:rPr>
                <w:rFonts w:ascii="Calibri" w:hAnsi="Calibri" w:cs="Calibri"/>
                <w:sz w:val="20"/>
                <w:szCs w:val="20"/>
              </w:rPr>
              <w:t>16</w:t>
            </w:r>
            <w:r w:rsidR="005F7A6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1DAA" w14:textId="77777777" w:rsidR="00D130EE" w:rsidRPr="008E020B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8E020B">
              <w:rPr>
                <w:rFonts w:ascii="Calibri" w:eastAsia="SimSun" w:hAnsi="Calibri" w:cs="Calibri"/>
                <w:sz w:val="20"/>
                <w:szCs w:val="20"/>
              </w:rPr>
              <w:t>TPHA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D5A1" w14:textId="77777777" w:rsidR="00D130EE" w:rsidRPr="008E020B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020B">
              <w:rPr>
                <w:rFonts w:ascii="Calibri" w:eastAsia="SimSun" w:hAnsi="Calibri" w:cs="Calibri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F5747" w14:textId="77777777" w:rsidR="00D130EE" w:rsidRPr="008E020B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020B">
              <w:rPr>
                <w:rFonts w:ascii="Calibri" w:eastAsia="SimSun" w:hAnsi="Calibri" w:cs="Calibri"/>
                <w:sz w:val="20"/>
                <w:szCs w:val="20"/>
              </w:rPr>
              <w:t>700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43E2C" w14:textId="77777777" w:rsidR="00D130EE" w:rsidRPr="008E020B" w:rsidRDefault="00D130EE" w:rsidP="00A45417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1EFB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6B94B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F3C8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0D49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255D3CE1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BBDDB" w14:textId="700BDDEC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F49E8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VDRL 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330D5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3644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FB53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78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688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109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B028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03F8BF4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547ED" w14:textId="44B17D79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50DD0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ASO,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BFAE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924E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91EE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2BF3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E3EC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C238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CB35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0D7D12FC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F3393" w14:textId="4B5E0BC1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A895C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RF, ilościowo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46B1D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DF19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49853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4849E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5A6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99D7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B2CA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30EE" w:rsidRPr="00820122" w14:paraId="71690FAA" w14:textId="77777777" w:rsidTr="00D130EE">
        <w:trPr>
          <w:trHeight w:val="35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FAE2" w14:textId="7C8EB670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5F7A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E6AF5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Anty-CCP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A19B3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8BE58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B1966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395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BB6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35C99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42EE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0EE" w:rsidRPr="00820122" w14:paraId="79AA0CEE" w14:textId="77777777" w:rsidTr="00D130EE">
        <w:tc>
          <w:tcPr>
            <w:tcW w:w="493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AD761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: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5905B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6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3C0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834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742C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A90327" w14:textId="0ABC778A" w:rsidR="0034569F" w:rsidRPr="00BD0550" w:rsidRDefault="00BD0550" w:rsidP="0034569F">
      <w:pPr>
        <w:pStyle w:val="Zaczniki"/>
        <w:rPr>
          <w:rStyle w:val="Pogrubienie"/>
          <w:b w:val="0"/>
          <w:bCs w:val="0"/>
          <w:color w:val="FF0000"/>
          <w:sz w:val="22"/>
          <w:szCs w:val="20"/>
        </w:rPr>
      </w:pPr>
      <w:r w:rsidRPr="00BD0550">
        <w:rPr>
          <w:rStyle w:val="Pogrubienie"/>
          <w:b w:val="0"/>
          <w:bCs w:val="0"/>
          <w:color w:val="FF0000"/>
          <w:sz w:val="22"/>
          <w:szCs w:val="20"/>
        </w:rPr>
        <w:t>Udzielający Zamówienie nie dopuszcza składania ofert na poszczególne pozycje w Pakiecie.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54BA4312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47021D9B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1679E4F9" w14:textId="77777777" w:rsidR="00694EA1" w:rsidRPr="00694EA1" w:rsidRDefault="00694EA1" w:rsidP="00694EA1">
      <w:pPr>
        <w:pStyle w:val="Bezodstpw"/>
        <w:rPr>
          <w:rStyle w:val="Pogrubienie"/>
          <w:rFonts w:ascii="Calibri" w:hAnsi="Calibri" w:cs="Calibri"/>
          <w:b w:val="0"/>
          <w:bCs w:val="0"/>
          <w:szCs w:val="24"/>
        </w:rPr>
      </w:pP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...........................…..............</w:t>
      </w:r>
    </w:p>
    <w:p w14:paraId="5D51D04A" w14:textId="77777777" w:rsidR="00694EA1" w:rsidRPr="00694EA1" w:rsidRDefault="00694EA1" w:rsidP="00694EA1">
      <w:pPr>
        <w:pStyle w:val="Bezodstpw"/>
        <w:rPr>
          <w:rFonts w:ascii="Calibri" w:hAnsi="Calibri" w:cs="Calibri"/>
          <w:szCs w:val="24"/>
        </w:rPr>
      </w:pP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data i podpis Oferenta</w:t>
      </w:r>
    </w:p>
    <w:p w14:paraId="331DBA1E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45ECA454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33F4CB29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3AB93F48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55FEEA27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048A89A5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14D3C44A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67667018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43BABBE0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6F1DAF07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3BCFD3B1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1F048AC0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4BCB2F07" w14:textId="77777777" w:rsidR="00647912" w:rsidRDefault="00647912" w:rsidP="0064615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709A3198" w14:textId="54E130F6" w:rsidR="00646151" w:rsidRPr="00647912" w:rsidRDefault="00646151" w:rsidP="00646151">
      <w:pPr>
        <w:pStyle w:val="Standard"/>
        <w:ind w:left="426" w:right="848"/>
        <w:rPr>
          <w:rFonts w:ascii="Calibri" w:hAnsi="Calibri" w:cs="Calibri"/>
          <w:b/>
          <w:bCs/>
          <w:sz w:val="22"/>
          <w:szCs w:val="22"/>
        </w:rPr>
      </w:pPr>
      <w:r w:rsidRPr="00647912">
        <w:rPr>
          <w:rFonts w:ascii="Calibri" w:hAnsi="Calibri" w:cs="Calibri"/>
          <w:b/>
          <w:bCs/>
          <w:sz w:val="22"/>
          <w:szCs w:val="22"/>
        </w:rPr>
        <w:lastRenderedPageBreak/>
        <w:t>WARUNKI</w:t>
      </w:r>
      <w:r w:rsidR="00694EA1" w:rsidRPr="00647912">
        <w:rPr>
          <w:rFonts w:ascii="Calibri" w:hAnsi="Calibri" w:cs="Calibri"/>
          <w:b/>
          <w:bCs/>
          <w:sz w:val="22"/>
          <w:szCs w:val="22"/>
        </w:rPr>
        <w:t xml:space="preserve"> REALIZACJI</w:t>
      </w:r>
      <w:r w:rsidR="001E3BDD" w:rsidRPr="00647912">
        <w:rPr>
          <w:rFonts w:ascii="Calibri" w:hAnsi="Calibri" w:cs="Calibri"/>
          <w:b/>
          <w:bCs/>
          <w:sz w:val="22"/>
          <w:szCs w:val="22"/>
        </w:rPr>
        <w:t xml:space="preserve"> PRZEDMIOTU POSTĘPOWANIA</w:t>
      </w:r>
      <w:r w:rsidRPr="00647912">
        <w:rPr>
          <w:rFonts w:ascii="Calibri" w:hAnsi="Calibri" w:cs="Calibri"/>
          <w:b/>
          <w:bCs/>
          <w:sz w:val="22"/>
          <w:szCs w:val="22"/>
        </w:rPr>
        <w:t>:</w:t>
      </w:r>
    </w:p>
    <w:p w14:paraId="666D9518" w14:textId="77777777" w:rsidR="00646151" w:rsidRPr="00647912" w:rsidRDefault="00646151" w:rsidP="00646151">
      <w:pPr>
        <w:pStyle w:val="Standard"/>
        <w:ind w:left="426" w:right="848"/>
        <w:rPr>
          <w:rFonts w:ascii="Calibri" w:hAnsi="Calibri" w:cs="Calibri"/>
          <w:b/>
          <w:bCs/>
          <w:sz w:val="22"/>
          <w:szCs w:val="22"/>
        </w:rPr>
      </w:pPr>
    </w:p>
    <w:p w14:paraId="14FDA3BF" w14:textId="6E5D1D10" w:rsidR="00646151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bookmarkStart w:id="0" w:name="_Hlk72224478"/>
      <w:r w:rsidRPr="00647912">
        <w:rPr>
          <w:rFonts w:ascii="Calibri" w:hAnsi="Calibri" w:cs="Calibri"/>
          <w:sz w:val="22"/>
          <w:szCs w:val="22"/>
        </w:rPr>
        <w:t>Przyjmujący Zamówienie ma zapewnić zgodność nazwy, przedmiotu i zakresu badania w formularzu cenowym, skierowaniach, wynikach i dokumentach rozliczeniowych z nazwą wskazaną przez Udzielającego Zamówienie w niniejszym formularzu, jeżeli stosowana przez niego nazwa badania jest inna wówczas może dopisać ją przy nazwie zawartej w formularzu ale nie może jej zastąpić. Niezależnie od nazwy badania obejmuje ono pełne badanie w danym zakresie zakończone uzyskaniem wyniku.</w:t>
      </w:r>
    </w:p>
    <w:p w14:paraId="617F8AAF" w14:textId="0530D28C" w:rsidR="00646151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Oryginał wyniku badania Przyjmujący Zamówienie przesyła do siedziby Udzielającego Zamówienie na własny koszt.</w:t>
      </w:r>
    </w:p>
    <w:p w14:paraId="3F225394" w14:textId="77777777" w:rsidR="00CA75FA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Czas otrzymania wyniku badania wg. deklarowanej w kolumnie 9 ilości dni roboczych, licząc od dnia odbioru materiału.</w:t>
      </w:r>
    </w:p>
    <w:p w14:paraId="31B425ED" w14:textId="12D3046E" w:rsidR="00CA75FA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Transport materiału do badania od Udzielającego Zamówienie do siedziby Przyjmując</w:t>
      </w:r>
      <w:r w:rsidR="00CA75FA" w:rsidRPr="00647912">
        <w:rPr>
          <w:rFonts w:ascii="Calibri" w:hAnsi="Calibri" w:cs="Calibri"/>
          <w:sz w:val="22"/>
          <w:szCs w:val="22"/>
        </w:rPr>
        <w:t>ego</w:t>
      </w:r>
      <w:r w:rsidRPr="00647912">
        <w:rPr>
          <w:rFonts w:ascii="Calibri" w:hAnsi="Calibri" w:cs="Calibri"/>
          <w:sz w:val="22"/>
          <w:szCs w:val="22"/>
        </w:rPr>
        <w:t xml:space="preserve"> Zamówienie w cenie oferty i w gestii Przyjmującego Zamówienie</w:t>
      </w:r>
      <w:r w:rsidR="0033690C" w:rsidRPr="00647912">
        <w:rPr>
          <w:sz w:val="22"/>
          <w:szCs w:val="22"/>
        </w:rPr>
        <w:t xml:space="preserve"> (</w:t>
      </w:r>
      <w:r w:rsidR="0033690C" w:rsidRPr="00647912">
        <w:rPr>
          <w:rFonts w:ascii="Calibri" w:hAnsi="Calibri" w:cs="Calibri"/>
          <w:sz w:val="22"/>
          <w:szCs w:val="22"/>
        </w:rPr>
        <w:t>zalecany system monitorowania czasu transportu i warunków transportu)</w:t>
      </w:r>
      <w:r w:rsidRPr="00647912">
        <w:rPr>
          <w:rFonts w:ascii="Calibri" w:hAnsi="Calibri" w:cs="Calibri"/>
          <w:sz w:val="22"/>
          <w:szCs w:val="22"/>
        </w:rPr>
        <w:t>.</w:t>
      </w:r>
    </w:p>
    <w:p w14:paraId="6946B870" w14:textId="77777777" w:rsidR="00CA75FA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Odbiór materiału z Laboratorium Analitycznego Udzielającego Zamówienie w dni robocze (od poniedziałku do piątku), w godzinach do uzgodnienia, wg potrzeb Udzielającego Zamówienie.</w:t>
      </w:r>
    </w:p>
    <w:p w14:paraId="24487F70" w14:textId="77777777" w:rsidR="00DF2F69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 xml:space="preserve">Przyjmujący Zamówienie jest zobowiązany do dostarczenia: aktualnych procedur dla wykonywanych badań, wartości referencyjnych, druków umożliwiających prawidłową identyfikację pacjenta (skierowań) z uwzględnieniem zleconych badań, kodów kreskowych, odpowiednich probówek systemu zamkniętego (kompatybilnych z systemem stosowanym u </w:t>
      </w:r>
      <w:r w:rsidR="00CA75FA" w:rsidRPr="00647912">
        <w:rPr>
          <w:rFonts w:ascii="Calibri" w:hAnsi="Calibri" w:cs="Calibri"/>
          <w:sz w:val="22"/>
          <w:szCs w:val="22"/>
        </w:rPr>
        <w:t>Udzielającego Zamówienie</w:t>
      </w:r>
      <w:r w:rsidRPr="00647912">
        <w:rPr>
          <w:rFonts w:ascii="Calibri" w:hAnsi="Calibri" w:cs="Calibri"/>
          <w:sz w:val="22"/>
          <w:szCs w:val="22"/>
        </w:rPr>
        <w:t xml:space="preserve"> – BD </w:t>
      </w:r>
      <w:proofErr w:type="spellStart"/>
      <w:r w:rsidRPr="00647912">
        <w:rPr>
          <w:rFonts w:ascii="Calibri" w:hAnsi="Calibri" w:cs="Calibri"/>
          <w:sz w:val="22"/>
          <w:szCs w:val="22"/>
        </w:rPr>
        <w:t>Vacutainer</w:t>
      </w:r>
      <w:proofErr w:type="spellEnd"/>
      <w:r w:rsidRPr="00647912">
        <w:rPr>
          <w:rFonts w:ascii="Calibri" w:hAnsi="Calibri" w:cs="Calibri"/>
          <w:sz w:val="22"/>
          <w:szCs w:val="22"/>
        </w:rPr>
        <w:t>).</w:t>
      </w:r>
    </w:p>
    <w:p w14:paraId="1C18B5F7" w14:textId="77777777" w:rsidR="00DF2F69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Wymagane</w:t>
      </w:r>
      <w:r w:rsidR="00CA75FA" w:rsidRPr="00647912">
        <w:rPr>
          <w:rFonts w:ascii="Calibri" w:hAnsi="Calibri" w:cs="Calibri"/>
          <w:sz w:val="22"/>
          <w:szCs w:val="22"/>
        </w:rPr>
        <w:t xml:space="preserve"> od Przyjmującego Zamówienie</w:t>
      </w:r>
      <w:r w:rsidRPr="00647912">
        <w:rPr>
          <w:rFonts w:ascii="Calibri" w:hAnsi="Calibri" w:cs="Calibri"/>
          <w:sz w:val="22"/>
          <w:szCs w:val="22"/>
        </w:rPr>
        <w:t xml:space="preserve"> dokumenty:</w:t>
      </w:r>
      <w:r w:rsidR="00CA75FA" w:rsidRPr="00647912">
        <w:rPr>
          <w:rFonts w:ascii="Calibri" w:hAnsi="Calibri" w:cs="Calibri"/>
          <w:sz w:val="22"/>
          <w:szCs w:val="22"/>
        </w:rPr>
        <w:t xml:space="preserve"> </w:t>
      </w:r>
      <w:r w:rsidRPr="00647912">
        <w:rPr>
          <w:rFonts w:ascii="Calibri" w:hAnsi="Calibri" w:cs="Calibri"/>
          <w:sz w:val="22"/>
          <w:szCs w:val="22"/>
        </w:rPr>
        <w:t>dokument potwierdzający wpis laboratorium do ewidencji prowadzonej przez Krajową Radę Diagnostów Laboratoryjnych</w:t>
      </w:r>
      <w:r w:rsidR="00CA75FA" w:rsidRPr="00647912">
        <w:rPr>
          <w:rFonts w:ascii="Calibri" w:hAnsi="Calibri" w:cs="Calibri"/>
          <w:sz w:val="22"/>
          <w:szCs w:val="22"/>
        </w:rPr>
        <w:t xml:space="preserve">; </w:t>
      </w:r>
      <w:r w:rsidRPr="00647912">
        <w:rPr>
          <w:rFonts w:ascii="Calibri" w:hAnsi="Calibri" w:cs="Calibri"/>
          <w:sz w:val="22"/>
          <w:szCs w:val="22"/>
        </w:rPr>
        <w:t xml:space="preserve">wykaz personelu zatrudnionego w medycznym laboratorium diagnostycznym z określeniem wykształcenia, kwalifikacji zawodowych i doświadczenia. Udzielający </w:t>
      </w:r>
      <w:r w:rsidR="00CA75FA" w:rsidRPr="00647912">
        <w:rPr>
          <w:rFonts w:ascii="Calibri" w:hAnsi="Calibri" w:cs="Calibri"/>
          <w:sz w:val="22"/>
          <w:szCs w:val="22"/>
        </w:rPr>
        <w:t>Z</w:t>
      </w:r>
      <w:r w:rsidRPr="00647912">
        <w:rPr>
          <w:rFonts w:ascii="Calibri" w:hAnsi="Calibri" w:cs="Calibri"/>
          <w:sz w:val="22"/>
          <w:szCs w:val="22"/>
        </w:rPr>
        <w:t>amówieni</w:t>
      </w:r>
      <w:r w:rsidR="00CA75FA" w:rsidRPr="00647912">
        <w:rPr>
          <w:rFonts w:ascii="Calibri" w:hAnsi="Calibri" w:cs="Calibri"/>
          <w:sz w:val="22"/>
          <w:szCs w:val="22"/>
        </w:rPr>
        <w:t>e</w:t>
      </w:r>
      <w:r w:rsidRPr="00647912">
        <w:rPr>
          <w:rFonts w:ascii="Calibri" w:hAnsi="Calibri" w:cs="Calibri"/>
          <w:sz w:val="22"/>
          <w:szCs w:val="22"/>
        </w:rPr>
        <w:t xml:space="preserve"> wymaga, aby w medycznym laboratorium diagnostycznym zatrudnionych było co najmniej 4 diagnostów laboratoryjnych z min.  5-letnim doświadczeniem w zakresie wykonywanych badań oraz przynajmniej 2 diagnostów ze specjalizacją zgodną z kierunkiem pracy Laboratorium. Placówka musi zapewnić stały nadzór diagnostów nad realizacją powierzonych badań.</w:t>
      </w:r>
    </w:p>
    <w:p w14:paraId="28464EC6" w14:textId="77777777" w:rsidR="00DF2F69" w:rsidRPr="00647912" w:rsidRDefault="00CA75FA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Przyjmujący Zamówienie bezwzględnie musi d</w:t>
      </w:r>
      <w:r w:rsidR="00646151" w:rsidRPr="00647912">
        <w:rPr>
          <w:rFonts w:ascii="Calibri" w:hAnsi="Calibri" w:cs="Calibri"/>
          <w:sz w:val="22"/>
          <w:szCs w:val="22"/>
        </w:rPr>
        <w:t>ostarczyć</w:t>
      </w:r>
      <w:r w:rsidR="00646151" w:rsidRPr="006479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6151" w:rsidRPr="00647912">
        <w:rPr>
          <w:rFonts w:ascii="Calibri" w:hAnsi="Calibri" w:cs="Calibri"/>
          <w:sz w:val="22"/>
          <w:szCs w:val="22"/>
        </w:rPr>
        <w:t xml:space="preserve"> procedurę pobierania i przyjmowania materiału do badań (sposób pobrania materiału, min. wielkość próbki), opis procedury transportu materiału do miejsca wykonywania badań, określenie czasu (dni i godzin) w jakich pracownia przyjmuje materiał i wykonuje badania, miejsce wykonywania badań (lokalizacja laboratorium), inne istotne szczegóły dotyczące właściwej realizacji świadczeń.</w:t>
      </w:r>
    </w:p>
    <w:p w14:paraId="398D4AF3" w14:textId="486BF09C" w:rsidR="00DF2F69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eastAsia="SimSun" w:hAnsi="Calibri" w:cs="Calibri"/>
          <w:sz w:val="22"/>
          <w:szCs w:val="22"/>
        </w:rPr>
        <w:t>Wymaga się</w:t>
      </w:r>
      <w:r w:rsidR="00CA75FA" w:rsidRPr="00647912">
        <w:rPr>
          <w:rFonts w:ascii="Calibri" w:eastAsia="SimSun" w:hAnsi="Calibri" w:cs="Calibri"/>
          <w:sz w:val="22"/>
          <w:szCs w:val="22"/>
        </w:rPr>
        <w:t xml:space="preserve"> od Przyjmującego Zamówienie</w:t>
      </w:r>
      <w:r w:rsidRPr="00647912">
        <w:rPr>
          <w:rFonts w:ascii="Calibri" w:eastAsia="SimSun" w:hAnsi="Calibri" w:cs="Calibri"/>
          <w:sz w:val="22"/>
          <w:szCs w:val="22"/>
        </w:rPr>
        <w:t xml:space="preserve"> prowadzenia kontroli wewnątrzlaboratoryjnej (np. instrukcja operacyjna związana ze sposobem jej prowadzenia)</w:t>
      </w:r>
      <w:r w:rsidRPr="00647912">
        <w:rPr>
          <w:rFonts w:ascii="Calibri" w:hAnsi="Calibri" w:cs="Calibri"/>
          <w:sz w:val="22"/>
          <w:szCs w:val="22"/>
        </w:rPr>
        <w:t xml:space="preserve"> oraz zaświadczenia z udziału w programach kontroli </w:t>
      </w:r>
      <w:proofErr w:type="spellStart"/>
      <w:r w:rsidRPr="00647912">
        <w:rPr>
          <w:rFonts w:ascii="Calibri" w:hAnsi="Calibri" w:cs="Calibri"/>
          <w:sz w:val="22"/>
          <w:szCs w:val="22"/>
        </w:rPr>
        <w:t>zewnątrzlaboratoryjnych</w:t>
      </w:r>
      <w:proofErr w:type="spellEnd"/>
      <w:r w:rsidRPr="00647912">
        <w:rPr>
          <w:rFonts w:ascii="Calibri" w:hAnsi="Calibri" w:cs="Calibri"/>
          <w:sz w:val="22"/>
          <w:szCs w:val="22"/>
        </w:rPr>
        <w:t>, nie starsze niż 3 lata.</w:t>
      </w:r>
    </w:p>
    <w:p w14:paraId="32B3F381" w14:textId="77777777" w:rsidR="00DF2F69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eastAsia="SimSun" w:hAnsi="Calibri" w:cs="Calibri"/>
          <w:sz w:val="22"/>
          <w:szCs w:val="22"/>
        </w:rPr>
        <w:t xml:space="preserve">Przyjmujący Zamówienie zobowiązany jest do dostarczenia Udzielającemu Zamówienie w formie pisemnej oraz elektronicznej instrukcji 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</w:t>
      </w:r>
      <w:r w:rsidR="00CA75FA" w:rsidRPr="00647912">
        <w:rPr>
          <w:rFonts w:ascii="Calibri" w:eastAsia="SimSun" w:hAnsi="Calibri" w:cs="Calibri"/>
          <w:sz w:val="22"/>
          <w:szCs w:val="22"/>
        </w:rPr>
        <w:t>Z</w:t>
      </w:r>
      <w:r w:rsidRPr="00647912">
        <w:rPr>
          <w:rFonts w:ascii="Calibri" w:eastAsia="SimSun" w:hAnsi="Calibri" w:cs="Calibri"/>
          <w:sz w:val="22"/>
          <w:szCs w:val="22"/>
        </w:rPr>
        <w:t xml:space="preserve">amówienie, sposobu jej transportu. </w:t>
      </w:r>
    </w:p>
    <w:p w14:paraId="75D30CA8" w14:textId="77777777" w:rsidR="00DF2F69" w:rsidRPr="00647912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eastAsia="SimSun" w:hAnsi="Calibri" w:cs="Calibri"/>
          <w:sz w:val="22"/>
          <w:szCs w:val="22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11289925" w14:textId="77777777" w:rsidR="00DF2F69" w:rsidRPr="00647912" w:rsidRDefault="00CA75FA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47912">
        <w:rPr>
          <w:rFonts w:ascii="Calibri" w:hAnsi="Calibri" w:cs="Calibri"/>
          <w:sz w:val="22"/>
          <w:szCs w:val="22"/>
        </w:rPr>
        <w:t>Udzielający Zamówienie</w:t>
      </w:r>
      <w:r w:rsidR="00646151" w:rsidRPr="00647912">
        <w:rPr>
          <w:rFonts w:ascii="Calibri" w:hAnsi="Calibri" w:cs="Calibri"/>
          <w:sz w:val="22"/>
          <w:szCs w:val="22"/>
        </w:rPr>
        <w:t xml:space="preserve"> dopuszcza wykonywanie badań u podwykonawcy.</w:t>
      </w:r>
    </w:p>
    <w:p w14:paraId="60065F5B" w14:textId="31B43CB1" w:rsidR="00646151" w:rsidRPr="006029C0" w:rsidRDefault="00646151" w:rsidP="001E3BDD">
      <w:pPr>
        <w:pStyle w:val="Standard"/>
        <w:numPr>
          <w:ilvl w:val="6"/>
          <w:numId w:val="3"/>
        </w:numPr>
        <w:ind w:left="851"/>
        <w:rPr>
          <w:rFonts w:ascii="Calibri" w:hAnsi="Calibri" w:cs="Calibri"/>
          <w:sz w:val="22"/>
          <w:szCs w:val="22"/>
        </w:rPr>
      </w:pPr>
      <w:r w:rsidRPr="006029C0">
        <w:rPr>
          <w:rFonts w:ascii="Calibri" w:eastAsia="SimSun" w:hAnsi="Calibri" w:cs="Calibri"/>
          <w:sz w:val="22"/>
          <w:szCs w:val="22"/>
        </w:rPr>
        <w:t>Odczynnik niezbędny do badania nr 1</w:t>
      </w:r>
      <w:r w:rsidR="008762A5" w:rsidRPr="006029C0">
        <w:rPr>
          <w:rFonts w:ascii="Calibri" w:eastAsia="SimSun" w:hAnsi="Calibri" w:cs="Calibri"/>
          <w:sz w:val="22"/>
          <w:szCs w:val="22"/>
        </w:rPr>
        <w:t>60</w:t>
      </w:r>
      <w:r w:rsidRPr="006029C0">
        <w:rPr>
          <w:rFonts w:ascii="Calibri" w:eastAsia="SimSun" w:hAnsi="Calibri" w:cs="Calibri"/>
          <w:sz w:val="22"/>
          <w:szCs w:val="22"/>
        </w:rPr>
        <w:t xml:space="preserve"> tj. HLA B*57 zapewnia KC ds. AIDS.</w:t>
      </w:r>
    </w:p>
    <w:bookmarkEnd w:id="0"/>
    <w:p w14:paraId="5D4E413B" w14:textId="77777777" w:rsidR="00646151" w:rsidRPr="00647912" w:rsidRDefault="00646151" w:rsidP="00646151">
      <w:pPr>
        <w:pStyle w:val="Standard"/>
        <w:ind w:left="426" w:right="848"/>
        <w:rPr>
          <w:sz w:val="22"/>
          <w:szCs w:val="22"/>
        </w:rPr>
      </w:pPr>
    </w:p>
    <w:p w14:paraId="1F4A9433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</w:rPr>
      </w:pPr>
    </w:p>
    <w:p w14:paraId="06D6DB8F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</w:rPr>
      </w:pPr>
    </w:p>
    <w:p w14:paraId="5C47CE86" w14:textId="77777777" w:rsidR="00694EA1" w:rsidRPr="00694EA1" w:rsidRDefault="00694EA1" w:rsidP="00694EA1">
      <w:pPr>
        <w:pStyle w:val="Bezodstpw"/>
        <w:rPr>
          <w:rStyle w:val="Pogrubienie"/>
          <w:rFonts w:ascii="Calibri" w:hAnsi="Calibri" w:cs="Calibri"/>
          <w:b w:val="0"/>
          <w:bCs w:val="0"/>
          <w:szCs w:val="24"/>
        </w:rPr>
      </w:pP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...........................…..............</w:t>
      </w:r>
    </w:p>
    <w:p w14:paraId="49CACF62" w14:textId="77777777" w:rsidR="00694EA1" w:rsidRPr="00694EA1" w:rsidRDefault="00694EA1" w:rsidP="00694EA1">
      <w:pPr>
        <w:pStyle w:val="Bezodstpw"/>
        <w:rPr>
          <w:rFonts w:ascii="Calibri" w:hAnsi="Calibri" w:cs="Calibri"/>
          <w:szCs w:val="24"/>
        </w:rPr>
      </w:pP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data i podpis Oferenta</w:t>
      </w:r>
    </w:p>
    <w:p w14:paraId="10463A61" w14:textId="1610A573" w:rsidR="00694EA1" w:rsidRDefault="00646151" w:rsidP="00694EA1">
      <w:pPr>
        <w:pStyle w:val="Standard"/>
        <w:ind w:left="426" w:right="848"/>
        <w:rPr>
          <w:rFonts w:ascii="Calibri" w:hAnsi="Calibri" w:cs="Calibri"/>
          <w:b/>
          <w:bCs/>
        </w:rPr>
      </w:pPr>
      <w:r w:rsidRPr="001E3BDD">
        <w:rPr>
          <w:rFonts w:ascii="Calibri" w:hAnsi="Calibri" w:cs="Calibri"/>
          <w:b/>
          <w:bCs/>
        </w:rPr>
        <w:lastRenderedPageBreak/>
        <w:t>WARUNKI INTEGRACJI</w:t>
      </w:r>
      <w:r w:rsidR="00694EA1" w:rsidRPr="001E3BDD">
        <w:rPr>
          <w:rFonts w:ascii="Calibri" w:hAnsi="Calibri" w:cs="Calibri"/>
          <w:b/>
          <w:bCs/>
        </w:rPr>
        <w:t xml:space="preserve"> SYSTEMU LABORATORYJNEGO LIS PRZYJMUJĄCEGO ZAMÓWIENIE USŁUG Z SYSTEMEM HIS UDZIELAJĄCEGO ZAMÓWIENIE. INTEGRACJA</w:t>
      </w:r>
      <w:r w:rsidR="001E3BDD" w:rsidRPr="001E3BDD">
        <w:rPr>
          <w:rFonts w:ascii="Calibri" w:hAnsi="Calibri" w:cs="Calibri"/>
          <w:b/>
          <w:bCs/>
        </w:rPr>
        <w:t xml:space="preserve"> Z WYKORZYSTANIEM STANDARDU HL7</w:t>
      </w:r>
      <w:r w:rsidR="001E3BDD">
        <w:rPr>
          <w:rFonts w:ascii="Calibri" w:hAnsi="Calibri" w:cs="Calibri"/>
          <w:b/>
          <w:bCs/>
        </w:rPr>
        <w:t>:</w:t>
      </w:r>
    </w:p>
    <w:p w14:paraId="206C771A" w14:textId="77777777" w:rsidR="001E3BDD" w:rsidRPr="001E3BDD" w:rsidRDefault="001E3BDD" w:rsidP="00694EA1">
      <w:pPr>
        <w:pStyle w:val="Standard"/>
        <w:ind w:left="426" w:right="848"/>
        <w:rPr>
          <w:rFonts w:ascii="Calibri" w:hAnsi="Calibri" w:cs="Calibri"/>
          <w:b/>
          <w:bCs/>
        </w:rPr>
      </w:pPr>
    </w:p>
    <w:p w14:paraId="60B85BE8" w14:textId="00B5849D" w:rsidR="00694EA1" w:rsidRPr="001E3BDD" w:rsidRDefault="00694EA1" w:rsidP="001E3BDD">
      <w:pPr>
        <w:pStyle w:val="Akapitzlist"/>
        <w:numPr>
          <w:ilvl w:val="0"/>
          <w:numId w:val="15"/>
        </w:numPr>
        <w:spacing w:line="259" w:lineRule="auto"/>
        <w:ind w:left="851"/>
        <w:rPr>
          <w:rFonts w:ascii="Calibri" w:hAnsi="Calibri" w:cs="Calibri"/>
          <w:szCs w:val="24"/>
        </w:rPr>
      </w:pPr>
      <w:r w:rsidRPr="001E3BDD">
        <w:rPr>
          <w:rFonts w:ascii="Calibri" w:hAnsi="Calibri" w:cs="Calibri"/>
          <w:szCs w:val="24"/>
        </w:rPr>
        <w:t>Segmenty wspólne dla komunikatów wysyłanych przez HIS i LIS</w:t>
      </w:r>
      <w:r w:rsidR="001E3BDD">
        <w:rPr>
          <w:rFonts w:ascii="Calibri" w:hAnsi="Calibri" w:cs="Calibri"/>
          <w:szCs w:val="24"/>
        </w:rPr>
        <w:t>:</w:t>
      </w:r>
    </w:p>
    <w:p w14:paraId="56C74264" w14:textId="2C07942C" w:rsidR="00694EA1" w:rsidRPr="00694EA1" w:rsidRDefault="00694EA1" w:rsidP="001E3BDD">
      <w:pPr>
        <w:spacing w:line="259" w:lineRule="auto"/>
        <w:ind w:left="851"/>
        <w:rPr>
          <w:rFonts w:ascii="Calibri" w:hAnsi="Calibri" w:cs="Calibri"/>
          <w:szCs w:val="24"/>
        </w:rPr>
      </w:pPr>
      <w:r w:rsidRPr="001E3BDD">
        <w:rPr>
          <w:rFonts w:ascii="Calibri" w:hAnsi="Calibri" w:cs="Calibri"/>
          <w:szCs w:val="24"/>
        </w:rPr>
        <w:t>Segment MSH - nagłówek komunikatu obejmujący:</w:t>
      </w:r>
      <w:r w:rsidR="001E3BDD" w:rsidRPr="001E3BDD">
        <w:rPr>
          <w:rFonts w:ascii="Calibri" w:hAnsi="Calibri" w:cs="Calibri"/>
          <w:szCs w:val="24"/>
        </w:rPr>
        <w:t xml:space="preserve"> </w:t>
      </w:r>
      <w:r w:rsidRPr="001E3BDD">
        <w:rPr>
          <w:rFonts w:ascii="Calibri" w:hAnsi="Calibri" w:cs="Calibri"/>
          <w:szCs w:val="24"/>
        </w:rPr>
        <w:t>kod systemu nadawcy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kod systemu adresata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data i czas utworzenia komunikatu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typ komunikatu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unikatowy identyfikator komunikatu</w:t>
      </w:r>
      <w:r w:rsidR="001E3BDD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tryb interpretacji komunikatu</w:t>
      </w:r>
      <w:r w:rsidR="001E3BDD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wersja standardu HL7</w:t>
      </w:r>
      <w:r w:rsidR="001E3BDD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potwierdzenia transportowe i aplikacyjne</w:t>
      </w:r>
      <w:r w:rsidR="001E3BDD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stosowany system kodowania znaków</w:t>
      </w:r>
      <w:r w:rsidR="001E3BDD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język komunikacji</w:t>
      </w:r>
      <w:r w:rsidR="001E3BDD">
        <w:rPr>
          <w:rFonts w:ascii="Calibri" w:hAnsi="Calibri" w:cs="Calibri"/>
          <w:szCs w:val="24"/>
        </w:rPr>
        <w:t>.</w:t>
      </w:r>
    </w:p>
    <w:p w14:paraId="0D01BBA5" w14:textId="77777777" w:rsidR="001E3BDD" w:rsidRDefault="00694EA1" w:rsidP="001E3BDD">
      <w:pPr>
        <w:pStyle w:val="Akapitzlist"/>
        <w:numPr>
          <w:ilvl w:val="0"/>
          <w:numId w:val="15"/>
        </w:numPr>
        <w:spacing w:line="259" w:lineRule="auto"/>
        <w:ind w:left="851"/>
        <w:rPr>
          <w:rFonts w:ascii="Calibri" w:hAnsi="Calibri" w:cs="Calibri"/>
          <w:szCs w:val="24"/>
        </w:rPr>
      </w:pPr>
      <w:r w:rsidRPr="001E3BDD">
        <w:rPr>
          <w:rFonts w:ascii="Calibri" w:hAnsi="Calibri" w:cs="Calibri"/>
          <w:szCs w:val="24"/>
        </w:rPr>
        <w:t>Dane przesyłane z systemu HIS</w:t>
      </w:r>
      <w:r w:rsidR="001E3BDD">
        <w:rPr>
          <w:rFonts w:ascii="Calibri" w:hAnsi="Calibri" w:cs="Calibri"/>
          <w:szCs w:val="24"/>
        </w:rPr>
        <w:t>:</w:t>
      </w:r>
    </w:p>
    <w:p w14:paraId="66811880" w14:textId="77777777" w:rsidR="001E3BDD" w:rsidRDefault="00694EA1" w:rsidP="001E3BDD">
      <w:pPr>
        <w:pStyle w:val="Akapitzlist"/>
        <w:numPr>
          <w:ilvl w:val="0"/>
          <w:numId w:val="11"/>
        </w:numPr>
        <w:spacing w:line="259" w:lineRule="auto"/>
        <w:ind w:left="1134"/>
        <w:rPr>
          <w:rFonts w:ascii="Calibri" w:hAnsi="Calibri" w:cs="Calibri"/>
          <w:szCs w:val="24"/>
        </w:rPr>
      </w:pPr>
      <w:r w:rsidRPr="001E3BDD">
        <w:rPr>
          <w:rFonts w:ascii="Calibri" w:hAnsi="Calibri" w:cs="Calibri"/>
          <w:szCs w:val="24"/>
        </w:rPr>
        <w:t>Segment PID - dane demograficzne pacjenta obejmujące:</w:t>
      </w:r>
      <w:r w:rsidR="001E3BDD" w:rsidRPr="001E3BDD">
        <w:rPr>
          <w:rFonts w:ascii="Calibri" w:hAnsi="Calibri" w:cs="Calibri"/>
          <w:szCs w:val="24"/>
        </w:rPr>
        <w:t xml:space="preserve"> </w:t>
      </w:r>
      <w:r w:rsidRPr="001E3BDD">
        <w:rPr>
          <w:rFonts w:ascii="Calibri" w:hAnsi="Calibri" w:cs="Calibri"/>
          <w:szCs w:val="24"/>
        </w:rPr>
        <w:t>PESEL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Imiona i nazwisko pacjenta, nazwisko rodowe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identyfikator pacjenta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data urodzenia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płeć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adres</w:t>
      </w:r>
      <w:r w:rsidR="001E3BDD">
        <w:rPr>
          <w:rFonts w:ascii="Calibri" w:hAnsi="Calibri" w:cs="Calibri"/>
          <w:szCs w:val="24"/>
        </w:rPr>
        <w:t>.</w:t>
      </w:r>
    </w:p>
    <w:p w14:paraId="346EE06D" w14:textId="77777777" w:rsidR="001E3BDD" w:rsidRDefault="00694EA1" w:rsidP="001E3BDD">
      <w:pPr>
        <w:pStyle w:val="Akapitzlist"/>
        <w:numPr>
          <w:ilvl w:val="0"/>
          <w:numId w:val="12"/>
        </w:numPr>
        <w:spacing w:line="259" w:lineRule="auto"/>
        <w:ind w:left="1134"/>
        <w:rPr>
          <w:rFonts w:ascii="Calibri" w:hAnsi="Calibri" w:cs="Calibri"/>
          <w:szCs w:val="24"/>
        </w:rPr>
      </w:pPr>
      <w:r w:rsidRPr="001E3BDD">
        <w:rPr>
          <w:rFonts w:ascii="Calibri" w:hAnsi="Calibri" w:cs="Calibri"/>
          <w:szCs w:val="24"/>
        </w:rPr>
        <w:t>Segment PV1 - informacje o wizycie lub pobycie pacjenta, obejmujący:</w:t>
      </w:r>
      <w:r w:rsidR="001E3BDD" w:rsidRPr="001E3BDD">
        <w:rPr>
          <w:rFonts w:ascii="Calibri" w:hAnsi="Calibri" w:cs="Calibri"/>
          <w:szCs w:val="24"/>
        </w:rPr>
        <w:t xml:space="preserve"> </w:t>
      </w:r>
      <w:r w:rsidRPr="001E3BDD">
        <w:rPr>
          <w:rFonts w:ascii="Calibri" w:hAnsi="Calibri" w:cs="Calibri"/>
          <w:szCs w:val="24"/>
        </w:rPr>
        <w:t xml:space="preserve">rodzaj pobytu </w:t>
      </w:r>
      <w:r w:rsidR="001E3BDD" w:rsidRPr="001E3BDD">
        <w:rPr>
          <w:rFonts w:ascii="Calibri" w:hAnsi="Calibri" w:cs="Calibri"/>
          <w:szCs w:val="24"/>
        </w:rPr>
        <w:t>(</w:t>
      </w:r>
      <w:r w:rsidRPr="001E3BDD">
        <w:rPr>
          <w:rFonts w:ascii="Calibri" w:hAnsi="Calibri" w:cs="Calibri"/>
          <w:szCs w:val="24"/>
        </w:rPr>
        <w:t>pobyt na IP, wizyta ambulatoryjna, hospitalizacja</w:t>
      </w:r>
      <w:r w:rsidR="001E3BDD" w:rsidRPr="001E3BDD">
        <w:rPr>
          <w:rFonts w:ascii="Calibri" w:hAnsi="Calibri" w:cs="Calibri"/>
          <w:szCs w:val="24"/>
        </w:rPr>
        <w:t xml:space="preserve">), </w:t>
      </w:r>
      <w:r w:rsidRPr="001E3BDD">
        <w:rPr>
          <w:rFonts w:ascii="Calibri" w:hAnsi="Calibri" w:cs="Calibri"/>
          <w:szCs w:val="24"/>
        </w:rPr>
        <w:t>jednostka organizacyjna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rodzaj świadczenia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identyfikator pobytu, np. nr księgi</w:t>
      </w:r>
      <w:r w:rsidR="001E3BDD">
        <w:rPr>
          <w:rFonts w:ascii="Calibri" w:hAnsi="Calibri" w:cs="Calibri"/>
          <w:szCs w:val="24"/>
        </w:rPr>
        <w:t>.</w:t>
      </w:r>
    </w:p>
    <w:p w14:paraId="5440E980" w14:textId="77777777" w:rsidR="001E3BDD" w:rsidRDefault="00694EA1" w:rsidP="001E3BDD">
      <w:pPr>
        <w:pStyle w:val="Akapitzlist"/>
        <w:numPr>
          <w:ilvl w:val="0"/>
          <w:numId w:val="13"/>
        </w:numPr>
        <w:spacing w:line="259" w:lineRule="auto"/>
        <w:ind w:left="1134"/>
        <w:rPr>
          <w:rFonts w:ascii="Calibri" w:hAnsi="Calibri" w:cs="Calibri"/>
          <w:szCs w:val="24"/>
        </w:rPr>
      </w:pPr>
      <w:r w:rsidRPr="001E3BDD">
        <w:rPr>
          <w:rFonts w:ascii="Calibri" w:hAnsi="Calibri" w:cs="Calibri"/>
          <w:szCs w:val="24"/>
        </w:rPr>
        <w:t>Segment IN1 - informacje o ubezpieczeniu pacjenta obejmujące:</w:t>
      </w:r>
      <w:r w:rsidR="001E3BDD" w:rsidRPr="001E3BDD">
        <w:rPr>
          <w:rFonts w:ascii="Calibri" w:hAnsi="Calibri" w:cs="Calibri"/>
          <w:szCs w:val="24"/>
        </w:rPr>
        <w:t xml:space="preserve"> </w:t>
      </w:r>
      <w:r w:rsidRPr="001E3BDD">
        <w:rPr>
          <w:rFonts w:ascii="Calibri" w:hAnsi="Calibri" w:cs="Calibri"/>
          <w:szCs w:val="24"/>
        </w:rPr>
        <w:t>identyfikator płatnika</w:t>
      </w:r>
      <w:r w:rsidR="001E3BDD" w:rsidRPr="001E3BDD">
        <w:rPr>
          <w:rFonts w:ascii="Calibri" w:hAnsi="Calibri" w:cs="Calibri"/>
          <w:szCs w:val="24"/>
        </w:rPr>
        <w:t xml:space="preserve">, </w:t>
      </w:r>
      <w:r w:rsidRPr="001E3BDD">
        <w:rPr>
          <w:rFonts w:ascii="Calibri" w:hAnsi="Calibri" w:cs="Calibri"/>
          <w:szCs w:val="24"/>
        </w:rPr>
        <w:t>rodzaj skierowania</w:t>
      </w:r>
      <w:r w:rsidR="001E3BDD">
        <w:rPr>
          <w:rFonts w:ascii="Calibri" w:hAnsi="Calibri" w:cs="Calibri"/>
          <w:szCs w:val="24"/>
        </w:rPr>
        <w:t>.</w:t>
      </w:r>
    </w:p>
    <w:p w14:paraId="405A9120" w14:textId="22A80CC4" w:rsidR="00694EA1" w:rsidRPr="007A72FC" w:rsidRDefault="00694EA1" w:rsidP="00694EA1">
      <w:pPr>
        <w:pStyle w:val="Akapitzlist"/>
        <w:numPr>
          <w:ilvl w:val="0"/>
          <w:numId w:val="14"/>
        </w:numPr>
        <w:spacing w:line="259" w:lineRule="auto"/>
        <w:ind w:left="1134"/>
        <w:rPr>
          <w:rFonts w:ascii="Calibri" w:hAnsi="Calibri" w:cs="Calibri"/>
          <w:szCs w:val="24"/>
        </w:rPr>
      </w:pPr>
      <w:r w:rsidRPr="007A72FC">
        <w:rPr>
          <w:rFonts w:ascii="Calibri" w:hAnsi="Calibri" w:cs="Calibri"/>
          <w:szCs w:val="24"/>
        </w:rPr>
        <w:t>Segment ORM^O01 - dane zlecenia obejmujące:</w:t>
      </w:r>
      <w:r w:rsidR="001E3BDD" w:rsidRPr="007A72FC">
        <w:rPr>
          <w:rFonts w:ascii="Calibri" w:hAnsi="Calibri" w:cs="Calibri"/>
          <w:szCs w:val="24"/>
        </w:rPr>
        <w:t xml:space="preserve"> </w:t>
      </w:r>
      <w:r w:rsidRPr="007A72FC">
        <w:rPr>
          <w:rFonts w:ascii="Calibri" w:hAnsi="Calibri" w:cs="Calibri"/>
          <w:szCs w:val="24"/>
        </w:rPr>
        <w:t>nr zlecenia</w:t>
      </w:r>
      <w:r w:rsidR="001E3BDD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>planowana data wykonania</w:t>
      </w:r>
      <w:r w:rsidR="001E3BDD" w:rsidRPr="007A72FC">
        <w:rPr>
          <w:rFonts w:ascii="Calibri" w:hAnsi="Calibri" w:cs="Calibri"/>
          <w:szCs w:val="24"/>
        </w:rPr>
        <w:t xml:space="preserve"> lub </w:t>
      </w:r>
      <w:r w:rsidRPr="007A72FC">
        <w:rPr>
          <w:rFonts w:ascii="Calibri" w:hAnsi="Calibri" w:cs="Calibri"/>
          <w:szCs w:val="24"/>
        </w:rPr>
        <w:t>pilność</w:t>
      </w:r>
      <w:r w:rsidR="001E3BDD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>datę i czas zlecenia</w:t>
      </w:r>
      <w:r w:rsidR="001E3BDD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>dane osoby zlecającej</w:t>
      </w:r>
      <w:r w:rsidR="001E3BDD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>identyfikator zlecanego badania</w:t>
      </w:r>
      <w:r w:rsidR="007A72FC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 xml:space="preserve">dane pobrania </w:t>
      </w:r>
      <w:r w:rsidR="007A72FC" w:rsidRPr="007A72FC">
        <w:rPr>
          <w:rFonts w:ascii="Calibri" w:hAnsi="Calibri" w:cs="Calibri"/>
          <w:szCs w:val="24"/>
        </w:rPr>
        <w:t>[</w:t>
      </w:r>
      <w:r w:rsidRPr="007A72FC">
        <w:rPr>
          <w:rFonts w:ascii="Calibri" w:hAnsi="Calibri" w:cs="Calibri"/>
          <w:szCs w:val="24"/>
        </w:rPr>
        <w:t>tj.: osoba pobierająca, moment pobrania, pobrany materiał (rodzaj i numer próbki)</w:t>
      </w:r>
      <w:r w:rsidR="007A72FC" w:rsidRPr="007A72FC">
        <w:rPr>
          <w:rFonts w:ascii="Calibri" w:hAnsi="Calibri" w:cs="Calibri"/>
          <w:szCs w:val="24"/>
        </w:rPr>
        <w:t xml:space="preserve">], </w:t>
      </w:r>
      <w:r w:rsidRPr="007A72FC">
        <w:rPr>
          <w:rFonts w:ascii="Calibri" w:hAnsi="Calibri" w:cs="Calibri"/>
          <w:szCs w:val="24"/>
        </w:rPr>
        <w:t>rozpoznanie ze zlecenia</w:t>
      </w:r>
      <w:r w:rsidR="007A72FC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>komentarz do zlecenia</w:t>
      </w:r>
      <w:r w:rsidR="007A72FC" w:rsidRPr="007A72FC">
        <w:rPr>
          <w:rFonts w:ascii="Calibri" w:hAnsi="Calibri" w:cs="Calibri"/>
          <w:szCs w:val="24"/>
        </w:rPr>
        <w:t xml:space="preserve">, </w:t>
      </w:r>
      <w:r w:rsidRPr="007A72FC">
        <w:rPr>
          <w:rFonts w:ascii="Calibri" w:hAnsi="Calibri" w:cs="Calibri"/>
          <w:szCs w:val="24"/>
        </w:rPr>
        <w:t>dane badania (kod i nazwa badania)</w:t>
      </w:r>
      <w:r w:rsidR="007A72FC">
        <w:rPr>
          <w:rFonts w:ascii="Calibri" w:hAnsi="Calibri" w:cs="Calibri"/>
          <w:szCs w:val="24"/>
        </w:rPr>
        <w:t>.</w:t>
      </w:r>
    </w:p>
    <w:p w14:paraId="6D7E5FF3" w14:textId="77777777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>Anulowanie zlecenia</w:t>
      </w:r>
    </w:p>
    <w:p w14:paraId="2433D9A0" w14:textId="77777777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>Modyfikacja zlecenia</w:t>
      </w:r>
    </w:p>
    <w:p w14:paraId="07D4F42B" w14:textId="10AA02DE" w:rsidR="00694EA1" w:rsidRPr="007A72FC" w:rsidRDefault="00694EA1" w:rsidP="007A72FC">
      <w:pPr>
        <w:pStyle w:val="Akapitzlist"/>
        <w:numPr>
          <w:ilvl w:val="0"/>
          <w:numId w:val="15"/>
        </w:numPr>
        <w:spacing w:line="259" w:lineRule="auto"/>
        <w:ind w:left="851"/>
        <w:rPr>
          <w:rFonts w:ascii="Calibri" w:hAnsi="Calibri" w:cs="Calibri"/>
          <w:szCs w:val="24"/>
        </w:rPr>
      </w:pPr>
      <w:r w:rsidRPr="007A72FC">
        <w:rPr>
          <w:rFonts w:ascii="Calibri" w:hAnsi="Calibri" w:cs="Calibri"/>
          <w:szCs w:val="24"/>
        </w:rPr>
        <w:t>Dane przesyłane z systemu LIS</w:t>
      </w:r>
      <w:r w:rsidR="007A72FC">
        <w:rPr>
          <w:rFonts w:ascii="Calibri" w:hAnsi="Calibri" w:cs="Calibri"/>
          <w:szCs w:val="24"/>
        </w:rPr>
        <w:t>:</w:t>
      </w:r>
    </w:p>
    <w:p w14:paraId="126E1992" w14:textId="76C15085" w:rsidR="00694EA1" w:rsidRPr="00694EA1" w:rsidRDefault="00694EA1" w:rsidP="007A72FC">
      <w:pPr>
        <w:spacing w:line="259" w:lineRule="auto"/>
        <w:ind w:left="851"/>
        <w:rPr>
          <w:rFonts w:ascii="Calibri" w:hAnsi="Calibri" w:cs="Calibri"/>
          <w:szCs w:val="24"/>
        </w:rPr>
      </w:pPr>
      <w:r w:rsidRPr="007A72FC">
        <w:rPr>
          <w:rFonts w:ascii="Calibri" w:hAnsi="Calibri" w:cs="Calibri"/>
          <w:szCs w:val="24"/>
        </w:rPr>
        <w:t>Segment ORU^R01 - wynik obejmujący:</w:t>
      </w:r>
      <w:r w:rsidR="007A72FC">
        <w:rPr>
          <w:rFonts w:ascii="Calibri" w:hAnsi="Calibri" w:cs="Calibri"/>
          <w:szCs w:val="24"/>
        </w:rPr>
        <w:t xml:space="preserve"> </w:t>
      </w:r>
      <w:r w:rsidRPr="00694EA1">
        <w:rPr>
          <w:rFonts w:ascii="Calibri" w:hAnsi="Calibri" w:cs="Calibri"/>
          <w:szCs w:val="24"/>
        </w:rPr>
        <w:t>status wyniku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dane zlecenia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data i godzina przyjęcia materiału do laboratorium podwykonawcy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dane laboratorium wykonującego badanie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kod wykonanego badania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datę wykonania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 xml:space="preserve">dane personelu wykonującego </w:t>
      </w:r>
      <w:r w:rsidR="007A72FC">
        <w:rPr>
          <w:rFonts w:ascii="Calibri" w:hAnsi="Calibri" w:cs="Calibri"/>
          <w:szCs w:val="24"/>
        </w:rPr>
        <w:t>(</w:t>
      </w:r>
      <w:r w:rsidRPr="00694EA1">
        <w:rPr>
          <w:rFonts w:ascii="Calibri" w:hAnsi="Calibri" w:cs="Calibri"/>
          <w:szCs w:val="24"/>
        </w:rPr>
        <w:t>lekarz wykonujący, lekarz opisujący, lekarz konsultujący, technik, osoba autoryzująca</w:t>
      </w:r>
      <w:r w:rsidR="007A72FC">
        <w:rPr>
          <w:rFonts w:ascii="Calibri" w:hAnsi="Calibri" w:cs="Calibri"/>
          <w:szCs w:val="24"/>
        </w:rPr>
        <w:t xml:space="preserve">), </w:t>
      </w:r>
      <w:r w:rsidRPr="00694EA1">
        <w:rPr>
          <w:rFonts w:ascii="Calibri" w:hAnsi="Calibri" w:cs="Calibri"/>
          <w:szCs w:val="24"/>
        </w:rPr>
        <w:t>wartość wyniku</w:t>
      </w:r>
      <w:r w:rsidR="007A72FC">
        <w:rPr>
          <w:rFonts w:ascii="Calibri" w:hAnsi="Calibri" w:cs="Calibri"/>
          <w:szCs w:val="24"/>
        </w:rPr>
        <w:t xml:space="preserve">, </w:t>
      </w:r>
      <w:r w:rsidRPr="00694EA1">
        <w:rPr>
          <w:rFonts w:ascii="Calibri" w:hAnsi="Calibri" w:cs="Calibri"/>
          <w:szCs w:val="24"/>
        </w:rPr>
        <w:t>jednostka miary i wartość referencyjna, przekroczenie normy</w:t>
      </w:r>
      <w:r w:rsidR="007A72FC">
        <w:rPr>
          <w:rFonts w:ascii="Calibri" w:hAnsi="Calibri" w:cs="Calibri"/>
          <w:szCs w:val="24"/>
        </w:rPr>
        <w:t>.</w:t>
      </w:r>
    </w:p>
    <w:p w14:paraId="24D7BAD3" w14:textId="713AF3CD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>Odnośniki (załączniki)</w:t>
      </w:r>
      <w:r w:rsidR="007A72FC">
        <w:rPr>
          <w:rFonts w:ascii="Calibri" w:hAnsi="Calibri" w:cs="Calibri"/>
          <w:b/>
          <w:bCs/>
          <w:szCs w:val="24"/>
        </w:rPr>
        <w:t xml:space="preserve"> </w:t>
      </w:r>
      <w:r w:rsidRPr="00694EA1">
        <w:rPr>
          <w:rFonts w:ascii="Calibri" w:hAnsi="Calibri" w:cs="Calibri"/>
          <w:b/>
          <w:bCs/>
          <w:szCs w:val="24"/>
        </w:rPr>
        <w:t>do wyników badań</w:t>
      </w:r>
    </w:p>
    <w:p w14:paraId="032700C1" w14:textId="77777777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 xml:space="preserve">Wyniki badań </w:t>
      </w:r>
      <w:proofErr w:type="spellStart"/>
      <w:r w:rsidRPr="00694EA1">
        <w:rPr>
          <w:rFonts w:ascii="Calibri" w:hAnsi="Calibri" w:cs="Calibri"/>
          <w:b/>
          <w:bCs/>
          <w:szCs w:val="24"/>
        </w:rPr>
        <w:t>dozleconych</w:t>
      </w:r>
      <w:proofErr w:type="spellEnd"/>
      <w:r w:rsidRPr="00694EA1">
        <w:rPr>
          <w:rFonts w:ascii="Calibri" w:hAnsi="Calibri" w:cs="Calibri"/>
          <w:b/>
          <w:bCs/>
          <w:szCs w:val="24"/>
        </w:rPr>
        <w:t xml:space="preserve"> (dodatkowych)</w:t>
      </w:r>
    </w:p>
    <w:p w14:paraId="0A54A643" w14:textId="77777777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>Wyniki badan nie zleconych przez HIS</w:t>
      </w:r>
    </w:p>
    <w:p w14:paraId="6C7B0A04" w14:textId="77777777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>Anulowanie wyniku</w:t>
      </w:r>
    </w:p>
    <w:p w14:paraId="473C3CB2" w14:textId="77777777" w:rsidR="00694EA1" w:rsidRPr="00694EA1" w:rsidRDefault="00694EA1" w:rsidP="007A72FC">
      <w:pPr>
        <w:ind w:left="567"/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t>Zmiana wyniku</w:t>
      </w:r>
    </w:p>
    <w:p w14:paraId="6CF14FF4" w14:textId="77777777" w:rsidR="00694EA1" w:rsidRPr="00694EA1" w:rsidRDefault="00694EA1" w:rsidP="00694EA1">
      <w:pPr>
        <w:rPr>
          <w:rFonts w:ascii="Calibri" w:hAnsi="Calibri" w:cs="Calibri"/>
          <w:b/>
          <w:bCs/>
          <w:szCs w:val="24"/>
        </w:rPr>
      </w:pPr>
      <w:r w:rsidRPr="00694EA1">
        <w:rPr>
          <w:rFonts w:ascii="Calibri" w:hAnsi="Calibri" w:cs="Calibri"/>
          <w:b/>
          <w:bCs/>
          <w:szCs w:val="24"/>
        </w:rPr>
        <w:br w:type="page"/>
      </w:r>
    </w:p>
    <w:p w14:paraId="009534F0" w14:textId="4F6B446A" w:rsidR="00694EA1" w:rsidRPr="00F52D2E" w:rsidRDefault="00694EA1" w:rsidP="00F52D2E">
      <w:pPr>
        <w:pStyle w:val="Akapitzlist"/>
        <w:numPr>
          <w:ilvl w:val="0"/>
          <w:numId w:val="15"/>
        </w:numPr>
        <w:spacing w:line="259" w:lineRule="auto"/>
        <w:ind w:left="851"/>
        <w:rPr>
          <w:rFonts w:ascii="Calibri" w:hAnsi="Calibri" w:cs="Calibri"/>
          <w:szCs w:val="24"/>
        </w:rPr>
      </w:pPr>
      <w:r w:rsidRPr="00F52D2E">
        <w:rPr>
          <w:rFonts w:ascii="Calibri" w:hAnsi="Calibri" w:cs="Calibri"/>
          <w:szCs w:val="24"/>
        </w:rPr>
        <w:lastRenderedPageBreak/>
        <w:t>Sposób połączenia z systemami zleceniodawcy</w:t>
      </w:r>
      <w:r w:rsidR="00F52D2E">
        <w:rPr>
          <w:rFonts w:ascii="Calibri" w:hAnsi="Calibri" w:cs="Calibri"/>
          <w:szCs w:val="24"/>
        </w:rPr>
        <w:t>:</w:t>
      </w:r>
    </w:p>
    <w:p w14:paraId="1B88F93B" w14:textId="77DF4B57" w:rsidR="00694EA1" w:rsidRPr="00F52D2E" w:rsidRDefault="00694EA1" w:rsidP="00F52D2E">
      <w:pPr>
        <w:pStyle w:val="Akapitzlist"/>
        <w:numPr>
          <w:ilvl w:val="0"/>
          <w:numId w:val="23"/>
        </w:numPr>
        <w:spacing w:line="259" w:lineRule="auto"/>
        <w:ind w:left="1276"/>
        <w:rPr>
          <w:rFonts w:ascii="Calibri" w:hAnsi="Calibri" w:cs="Calibri"/>
          <w:szCs w:val="24"/>
        </w:rPr>
      </w:pPr>
      <w:r w:rsidRPr="00F52D2E">
        <w:rPr>
          <w:rFonts w:ascii="Calibri" w:hAnsi="Calibri" w:cs="Calibri"/>
          <w:szCs w:val="24"/>
        </w:rPr>
        <w:t>Zapewnienie zgodności technicznej</w:t>
      </w:r>
      <w:r w:rsidR="00F52D2E">
        <w:rPr>
          <w:rFonts w:ascii="Calibri" w:hAnsi="Calibri" w:cs="Calibri"/>
          <w:szCs w:val="24"/>
        </w:rPr>
        <w:t>:</w:t>
      </w:r>
    </w:p>
    <w:p w14:paraId="70CE0201" w14:textId="77777777" w:rsidR="00694EA1" w:rsidRPr="00694EA1" w:rsidRDefault="00694EA1" w:rsidP="00F52D2E">
      <w:pPr>
        <w:pStyle w:val="Akapitzlist"/>
        <w:numPr>
          <w:ilvl w:val="1"/>
          <w:numId w:val="17"/>
        </w:numPr>
        <w:spacing w:line="259" w:lineRule="auto"/>
        <w:ind w:left="1701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 xml:space="preserve">Urządzenie brzegowe musi wspierać standardy </w:t>
      </w:r>
      <w:proofErr w:type="spellStart"/>
      <w:r w:rsidRPr="00694EA1">
        <w:rPr>
          <w:rFonts w:ascii="Calibri" w:hAnsi="Calibri" w:cs="Calibri"/>
          <w:szCs w:val="24"/>
        </w:rPr>
        <w:t>IPSec</w:t>
      </w:r>
      <w:proofErr w:type="spellEnd"/>
      <w:r w:rsidRPr="00694EA1">
        <w:rPr>
          <w:rFonts w:ascii="Calibri" w:hAnsi="Calibri" w:cs="Calibri"/>
          <w:szCs w:val="24"/>
        </w:rPr>
        <w:t xml:space="preserve"> VPN (IKEv2 preferowany) lub być zgodne z kompatybilnym protokołem </w:t>
      </w:r>
      <w:proofErr w:type="spellStart"/>
      <w:r w:rsidRPr="00694EA1">
        <w:rPr>
          <w:rFonts w:ascii="Calibri" w:hAnsi="Calibri" w:cs="Calibri"/>
          <w:szCs w:val="24"/>
        </w:rPr>
        <w:t>IPSec</w:t>
      </w:r>
      <w:proofErr w:type="spellEnd"/>
      <w:r w:rsidRPr="00694EA1">
        <w:rPr>
          <w:rFonts w:ascii="Calibri" w:hAnsi="Calibri" w:cs="Calibri"/>
          <w:szCs w:val="24"/>
        </w:rPr>
        <w:t xml:space="preserve">/IKE obsługiwanym przez brzegowe urządzenie zleceniodawcy: UTM </w:t>
      </w:r>
      <w:proofErr w:type="spellStart"/>
      <w:r w:rsidRPr="00694EA1">
        <w:rPr>
          <w:rFonts w:ascii="Calibri" w:hAnsi="Calibri" w:cs="Calibri"/>
          <w:szCs w:val="24"/>
        </w:rPr>
        <w:t>Stormshield</w:t>
      </w:r>
      <w:proofErr w:type="spellEnd"/>
      <w:r w:rsidRPr="00694EA1">
        <w:rPr>
          <w:rFonts w:ascii="Calibri" w:hAnsi="Calibri" w:cs="Calibri"/>
          <w:szCs w:val="24"/>
        </w:rPr>
        <w:t>.</w:t>
      </w:r>
    </w:p>
    <w:p w14:paraId="33720910" w14:textId="5027F2FA" w:rsidR="00694EA1" w:rsidRPr="00F52D2E" w:rsidRDefault="00694EA1" w:rsidP="00F52D2E">
      <w:pPr>
        <w:pStyle w:val="Akapitzlist"/>
        <w:numPr>
          <w:ilvl w:val="1"/>
          <w:numId w:val="17"/>
        </w:numPr>
        <w:spacing w:line="259" w:lineRule="auto"/>
        <w:ind w:left="1701"/>
        <w:rPr>
          <w:rFonts w:ascii="Calibri" w:hAnsi="Calibri" w:cs="Calibri"/>
          <w:szCs w:val="24"/>
        </w:rPr>
      </w:pPr>
      <w:r w:rsidRPr="00F52D2E">
        <w:rPr>
          <w:rFonts w:ascii="Calibri" w:hAnsi="Calibri" w:cs="Calibri"/>
          <w:szCs w:val="24"/>
        </w:rPr>
        <w:t>Musi umożliwiać zestawienie tunelu o wspólnej konfiguracji szyfrowania, np.:</w:t>
      </w:r>
      <w:r w:rsidR="00F52D2E" w:rsidRPr="00F52D2E">
        <w:rPr>
          <w:rFonts w:ascii="Calibri" w:hAnsi="Calibri" w:cs="Calibri"/>
          <w:szCs w:val="24"/>
        </w:rPr>
        <w:t xml:space="preserve"> </w:t>
      </w:r>
      <w:proofErr w:type="spellStart"/>
      <w:r w:rsidRPr="00F52D2E">
        <w:rPr>
          <w:rFonts w:ascii="Calibri" w:hAnsi="Calibri" w:cs="Calibri"/>
          <w:szCs w:val="24"/>
        </w:rPr>
        <w:t>Encryption</w:t>
      </w:r>
      <w:proofErr w:type="spellEnd"/>
      <w:r w:rsidRPr="00F52D2E">
        <w:rPr>
          <w:rFonts w:ascii="Calibri" w:hAnsi="Calibri" w:cs="Calibri"/>
          <w:szCs w:val="24"/>
        </w:rPr>
        <w:t>: AES-256</w:t>
      </w:r>
      <w:r w:rsidR="00F52D2E" w:rsidRPr="00F52D2E">
        <w:rPr>
          <w:rFonts w:ascii="Calibri" w:hAnsi="Calibri" w:cs="Calibri"/>
          <w:szCs w:val="24"/>
        </w:rPr>
        <w:t xml:space="preserve">, </w:t>
      </w:r>
      <w:proofErr w:type="spellStart"/>
      <w:r w:rsidRPr="00F52D2E">
        <w:rPr>
          <w:rFonts w:ascii="Calibri" w:hAnsi="Calibri" w:cs="Calibri"/>
          <w:szCs w:val="24"/>
        </w:rPr>
        <w:t>Integrity</w:t>
      </w:r>
      <w:proofErr w:type="spellEnd"/>
      <w:r w:rsidRPr="00F52D2E">
        <w:rPr>
          <w:rFonts w:ascii="Calibri" w:hAnsi="Calibri" w:cs="Calibri"/>
          <w:szCs w:val="24"/>
        </w:rPr>
        <w:t>: SHA-256</w:t>
      </w:r>
      <w:r w:rsidR="00F52D2E" w:rsidRPr="00F52D2E">
        <w:rPr>
          <w:rFonts w:ascii="Calibri" w:hAnsi="Calibri" w:cs="Calibri"/>
          <w:szCs w:val="24"/>
        </w:rPr>
        <w:t xml:space="preserve">, </w:t>
      </w:r>
      <w:r w:rsidRPr="00F52D2E">
        <w:rPr>
          <w:rFonts w:ascii="Calibri" w:hAnsi="Calibri" w:cs="Calibri"/>
          <w:szCs w:val="24"/>
        </w:rPr>
        <w:t xml:space="preserve">DH </w:t>
      </w:r>
      <w:proofErr w:type="spellStart"/>
      <w:r w:rsidRPr="00F52D2E">
        <w:rPr>
          <w:rFonts w:ascii="Calibri" w:hAnsi="Calibri" w:cs="Calibri"/>
          <w:szCs w:val="24"/>
        </w:rPr>
        <w:t>Group</w:t>
      </w:r>
      <w:proofErr w:type="spellEnd"/>
      <w:r w:rsidRPr="00F52D2E">
        <w:rPr>
          <w:rFonts w:ascii="Calibri" w:hAnsi="Calibri" w:cs="Calibri"/>
          <w:szCs w:val="24"/>
        </w:rPr>
        <w:t xml:space="preserve">: 14 lub wyższa (zalecana 19/20 dla </w:t>
      </w:r>
      <w:proofErr w:type="spellStart"/>
      <w:r w:rsidRPr="00F52D2E">
        <w:rPr>
          <w:rFonts w:ascii="Calibri" w:hAnsi="Calibri" w:cs="Calibri"/>
          <w:szCs w:val="24"/>
        </w:rPr>
        <w:t>perfect</w:t>
      </w:r>
      <w:proofErr w:type="spellEnd"/>
      <w:r w:rsidRPr="00F52D2E">
        <w:rPr>
          <w:rFonts w:ascii="Calibri" w:hAnsi="Calibri" w:cs="Calibri"/>
          <w:szCs w:val="24"/>
        </w:rPr>
        <w:t xml:space="preserve"> </w:t>
      </w:r>
      <w:proofErr w:type="spellStart"/>
      <w:r w:rsidRPr="00F52D2E">
        <w:rPr>
          <w:rFonts w:ascii="Calibri" w:hAnsi="Calibri" w:cs="Calibri"/>
          <w:szCs w:val="24"/>
        </w:rPr>
        <w:t>forward</w:t>
      </w:r>
      <w:proofErr w:type="spellEnd"/>
      <w:r w:rsidRPr="00F52D2E">
        <w:rPr>
          <w:rFonts w:ascii="Calibri" w:hAnsi="Calibri" w:cs="Calibri"/>
          <w:szCs w:val="24"/>
        </w:rPr>
        <w:t xml:space="preserve"> </w:t>
      </w:r>
      <w:proofErr w:type="spellStart"/>
      <w:r w:rsidRPr="00F52D2E">
        <w:rPr>
          <w:rFonts w:ascii="Calibri" w:hAnsi="Calibri" w:cs="Calibri"/>
          <w:szCs w:val="24"/>
        </w:rPr>
        <w:t>secrecy</w:t>
      </w:r>
      <w:proofErr w:type="spellEnd"/>
      <w:r w:rsidRPr="00F52D2E">
        <w:rPr>
          <w:rFonts w:ascii="Calibri" w:hAnsi="Calibri" w:cs="Calibri"/>
          <w:szCs w:val="24"/>
        </w:rPr>
        <w:t>)</w:t>
      </w:r>
      <w:r w:rsidR="00F52D2E" w:rsidRPr="00F52D2E">
        <w:rPr>
          <w:rFonts w:ascii="Calibri" w:hAnsi="Calibri" w:cs="Calibri"/>
          <w:szCs w:val="24"/>
        </w:rPr>
        <w:t xml:space="preserve">, </w:t>
      </w:r>
      <w:r w:rsidRPr="00F52D2E">
        <w:rPr>
          <w:rFonts w:ascii="Calibri" w:hAnsi="Calibri" w:cs="Calibri"/>
          <w:szCs w:val="24"/>
        </w:rPr>
        <w:t xml:space="preserve">IKE </w:t>
      </w:r>
      <w:proofErr w:type="spellStart"/>
      <w:r w:rsidRPr="00F52D2E">
        <w:rPr>
          <w:rFonts w:ascii="Calibri" w:hAnsi="Calibri" w:cs="Calibri"/>
          <w:szCs w:val="24"/>
        </w:rPr>
        <w:t>Lifetime</w:t>
      </w:r>
      <w:proofErr w:type="spellEnd"/>
      <w:r w:rsidRPr="00F52D2E">
        <w:rPr>
          <w:rFonts w:ascii="Calibri" w:hAnsi="Calibri" w:cs="Calibri"/>
          <w:szCs w:val="24"/>
        </w:rPr>
        <w:t>: 28800s</w:t>
      </w:r>
      <w:r w:rsidR="00F52D2E" w:rsidRPr="00F52D2E">
        <w:rPr>
          <w:rFonts w:ascii="Calibri" w:hAnsi="Calibri" w:cs="Calibri"/>
          <w:szCs w:val="24"/>
        </w:rPr>
        <w:t xml:space="preserve">, </w:t>
      </w:r>
      <w:proofErr w:type="spellStart"/>
      <w:r w:rsidRPr="00F52D2E">
        <w:rPr>
          <w:rFonts w:ascii="Calibri" w:hAnsi="Calibri" w:cs="Calibri"/>
          <w:szCs w:val="24"/>
        </w:rPr>
        <w:t>IPSec</w:t>
      </w:r>
      <w:proofErr w:type="spellEnd"/>
      <w:r w:rsidRPr="00F52D2E">
        <w:rPr>
          <w:rFonts w:ascii="Calibri" w:hAnsi="Calibri" w:cs="Calibri"/>
          <w:szCs w:val="24"/>
        </w:rPr>
        <w:t xml:space="preserve"> </w:t>
      </w:r>
      <w:proofErr w:type="spellStart"/>
      <w:r w:rsidRPr="00F52D2E">
        <w:rPr>
          <w:rFonts w:ascii="Calibri" w:hAnsi="Calibri" w:cs="Calibri"/>
          <w:szCs w:val="24"/>
        </w:rPr>
        <w:t>Lifetime</w:t>
      </w:r>
      <w:proofErr w:type="spellEnd"/>
      <w:r w:rsidRPr="00F52D2E">
        <w:rPr>
          <w:rFonts w:ascii="Calibri" w:hAnsi="Calibri" w:cs="Calibri"/>
          <w:szCs w:val="24"/>
        </w:rPr>
        <w:t>: 3600s</w:t>
      </w:r>
      <w:r w:rsidR="00F52D2E">
        <w:rPr>
          <w:rFonts w:ascii="Calibri" w:hAnsi="Calibri" w:cs="Calibri"/>
          <w:szCs w:val="24"/>
        </w:rPr>
        <w:t>.</w:t>
      </w:r>
    </w:p>
    <w:p w14:paraId="7ED8F09B" w14:textId="21F96689" w:rsidR="00694EA1" w:rsidRPr="00F52D2E" w:rsidRDefault="00694EA1" w:rsidP="00F52D2E">
      <w:pPr>
        <w:pStyle w:val="Akapitzlist"/>
        <w:numPr>
          <w:ilvl w:val="1"/>
          <w:numId w:val="24"/>
        </w:numPr>
        <w:spacing w:line="259" w:lineRule="auto"/>
        <w:ind w:left="1276"/>
        <w:rPr>
          <w:rFonts w:ascii="Calibri" w:hAnsi="Calibri" w:cs="Calibri"/>
          <w:szCs w:val="24"/>
        </w:rPr>
      </w:pPr>
      <w:r w:rsidRPr="00F52D2E">
        <w:rPr>
          <w:rFonts w:ascii="Calibri" w:hAnsi="Calibri" w:cs="Calibri"/>
          <w:szCs w:val="24"/>
        </w:rPr>
        <w:t>Bezpieczeństwo infrastruktury</w:t>
      </w:r>
      <w:r w:rsidR="00F52D2E">
        <w:rPr>
          <w:rFonts w:ascii="Calibri" w:hAnsi="Calibri" w:cs="Calibri"/>
          <w:szCs w:val="24"/>
        </w:rPr>
        <w:t>:</w:t>
      </w:r>
    </w:p>
    <w:p w14:paraId="653FE788" w14:textId="4A4D6F7E" w:rsidR="00694EA1" w:rsidRPr="00F52D2E" w:rsidRDefault="00694EA1" w:rsidP="00694EA1">
      <w:pPr>
        <w:pStyle w:val="Akapitzlist"/>
        <w:numPr>
          <w:ilvl w:val="0"/>
          <w:numId w:val="18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F52D2E">
        <w:rPr>
          <w:rFonts w:ascii="Calibri" w:hAnsi="Calibri" w:cs="Calibri"/>
          <w:szCs w:val="24"/>
        </w:rPr>
        <w:t>Urządzenie brzegowe zleceniobiorcy musi:</w:t>
      </w:r>
      <w:r w:rsidR="00F52D2E" w:rsidRPr="00F52D2E">
        <w:rPr>
          <w:rFonts w:ascii="Calibri" w:hAnsi="Calibri" w:cs="Calibri"/>
          <w:szCs w:val="24"/>
        </w:rPr>
        <w:t xml:space="preserve"> </w:t>
      </w:r>
      <w:r w:rsidRPr="00F52D2E">
        <w:rPr>
          <w:rFonts w:ascii="Calibri" w:hAnsi="Calibri" w:cs="Calibri"/>
          <w:szCs w:val="24"/>
        </w:rPr>
        <w:t>Znajdować się w bezpiecznej strefie fizycznej (serwerownia, kontrola dostępu)</w:t>
      </w:r>
      <w:r w:rsidR="00F52D2E" w:rsidRPr="00F52D2E">
        <w:rPr>
          <w:rFonts w:ascii="Calibri" w:hAnsi="Calibri" w:cs="Calibri"/>
          <w:szCs w:val="24"/>
        </w:rPr>
        <w:t xml:space="preserve">; </w:t>
      </w:r>
      <w:r w:rsidRPr="00F52D2E">
        <w:rPr>
          <w:rFonts w:ascii="Calibri" w:hAnsi="Calibri" w:cs="Calibri"/>
          <w:szCs w:val="24"/>
        </w:rPr>
        <w:t>Być objęte aktualizacjami bezpieczeństwa i monitoringiem</w:t>
      </w:r>
      <w:r w:rsidR="00F52D2E" w:rsidRPr="00F52D2E">
        <w:rPr>
          <w:rFonts w:ascii="Calibri" w:hAnsi="Calibri" w:cs="Calibri"/>
          <w:szCs w:val="24"/>
        </w:rPr>
        <w:t xml:space="preserve">; </w:t>
      </w:r>
      <w:r w:rsidRPr="00F52D2E">
        <w:rPr>
          <w:rFonts w:ascii="Calibri" w:hAnsi="Calibri" w:cs="Calibri"/>
          <w:szCs w:val="24"/>
        </w:rPr>
        <w:t xml:space="preserve">Mieć włączony firewall i ochronę przed </w:t>
      </w:r>
      <w:proofErr w:type="spellStart"/>
      <w:r w:rsidRPr="00F52D2E">
        <w:rPr>
          <w:rFonts w:ascii="Calibri" w:hAnsi="Calibri" w:cs="Calibri"/>
          <w:szCs w:val="24"/>
        </w:rPr>
        <w:t>DoS</w:t>
      </w:r>
      <w:proofErr w:type="spellEnd"/>
      <w:r w:rsidR="00F52D2E" w:rsidRPr="00F52D2E">
        <w:rPr>
          <w:rFonts w:ascii="Calibri" w:hAnsi="Calibri" w:cs="Calibri"/>
          <w:szCs w:val="24"/>
        </w:rPr>
        <w:t xml:space="preserve">; </w:t>
      </w:r>
      <w:r w:rsidRPr="00F52D2E">
        <w:rPr>
          <w:rFonts w:ascii="Calibri" w:hAnsi="Calibri" w:cs="Calibri"/>
          <w:szCs w:val="24"/>
        </w:rPr>
        <w:t>Obsługiwać separację VLAN/DMZ dla połączeń zewnętrznych, jeśli dane mają trafiać do określonych usług lub serwerów.</w:t>
      </w:r>
    </w:p>
    <w:p w14:paraId="6BB8E403" w14:textId="5AE55BE2" w:rsidR="00694EA1" w:rsidRPr="00F52D2E" w:rsidRDefault="00694EA1" w:rsidP="00F52D2E">
      <w:pPr>
        <w:pStyle w:val="Akapitzlist"/>
        <w:numPr>
          <w:ilvl w:val="0"/>
          <w:numId w:val="27"/>
        </w:numPr>
        <w:spacing w:line="259" w:lineRule="auto"/>
        <w:ind w:left="1276"/>
        <w:rPr>
          <w:rFonts w:ascii="Calibri" w:hAnsi="Calibri" w:cs="Calibri"/>
          <w:szCs w:val="24"/>
        </w:rPr>
      </w:pPr>
      <w:r w:rsidRPr="00F52D2E">
        <w:rPr>
          <w:rFonts w:ascii="Calibri" w:hAnsi="Calibri" w:cs="Calibri"/>
          <w:szCs w:val="24"/>
        </w:rPr>
        <w:t>Tożsamość i uwierzytelnianie</w:t>
      </w:r>
      <w:r w:rsidR="00F52D2E">
        <w:rPr>
          <w:rFonts w:ascii="Calibri" w:hAnsi="Calibri" w:cs="Calibri"/>
          <w:szCs w:val="24"/>
        </w:rPr>
        <w:t xml:space="preserve">: </w:t>
      </w:r>
    </w:p>
    <w:p w14:paraId="2F1036BC" w14:textId="77777777" w:rsidR="00694EA1" w:rsidRPr="00694EA1" w:rsidRDefault="00694EA1" w:rsidP="00F52D2E">
      <w:pPr>
        <w:pStyle w:val="Akapitzlist"/>
        <w:numPr>
          <w:ilvl w:val="0"/>
          <w:numId w:val="19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 xml:space="preserve">Autoryzacja połączenia powinna odbywać się za pomocą </w:t>
      </w:r>
      <w:proofErr w:type="spellStart"/>
      <w:r w:rsidRPr="00694EA1">
        <w:rPr>
          <w:rFonts w:ascii="Calibri" w:hAnsi="Calibri" w:cs="Calibri"/>
          <w:szCs w:val="24"/>
        </w:rPr>
        <w:t>pre-shared</w:t>
      </w:r>
      <w:proofErr w:type="spellEnd"/>
      <w:r w:rsidRPr="00694EA1">
        <w:rPr>
          <w:rFonts w:ascii="Calibri" w:hAnsi="Calibri" w:cs="Calibri"/>
          <w:szCs w:val="24"/>
        </w:rPr>
        <w:t xml:space="preserve"> </w:t>
      </w:r>
      <w:proofErr w:type="spellStart"/>
      <w:r w:rsidRPr="00694EA1">
        <w:rPr>
          <w:rFonts w:ascii="Calibri" w:hAnsi="Calibri" w:cs="Calibri"/>
          <w:szCs w:val="24"/>
        </w:rPr>
        <w:t>key</w:t>
      </w:r>
      <w:proofErr w:type="spellEnd"/>
      <w:r w:rsidRPr="00694EA1">
        <w:rPr>
          <w:rFonts w:ascii="Calibri" w:hAnsi="Calibri" w:cs="Calibri"/>
          <w:szCs w:val="24"/>
        </w:rPr>
        <w:t xml:space="preserve"> (PSK) o długości co najmniej 32 znaków, zmieniany cyklicznie.</w:t>
      </w:r>
    </w:p>
    <w:p w14:paraId="1C1096A7" w14:textId="77777777" w:rsidR="00694EA1" w:rsidRPr="00694EA1" w:rsidRDefault="00694EA1" w:rsidP="00F52D2E">
      <w:pPr>
        <w:pStyle w:val="Akapitzlist"/>
        <w:numPr>
          <w:ilvl w:val="0"/>
          <w:numId w:val="19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>Wymagane jest mapowanie adresów IP do identyfikatorów tuneli – nie dopuszczać „</w:t>
      </w:r>
      <w:proofErr w:type="spellStart"/>
      <w:r w:rsidRPr="00694EA1">
        <w:rPr>
          <w:rFonts w:ascii="Calibri" w:hAnsi="Calibri" w:cs="Calibri"/>
          <w:szCs w:val="24"/>
        </w:rPr>
        <w:t>any</w:t>
      </w:r>
      <w:proofErr w:type="spellEnd"/>
      <w:r w:rsidRPr="00694EA1">
        <w:rPr>
          <w:rFonts w:ascii="Calibri" w:hAnsi="Calibri" w:cs="Calibri"/>
          <w:szCs w:val="24"/>
        </w:rPr>
        <w:t xml:space="preserve"> to </w:t>
      </w:r>
      <w:proofErr w:type="spellStart"/>
      <w:r w:rsidRPr="00694EA1">
        <w:rPr>
          <w:rFonts w:ascii="Calibri" w:hAnsi="Calibri" w:cs="Calibri"/>
          <w:szCs w:val="24"/>
        </w:rPr>
        <w:t>any</w:t>
      </w:r>
      <w:proofErr w:type="spellEnd"/>
      <w:r w:rsidRPr="00694EA1">
        <w:rPr>
          <w:rFonts w:ascii="Calibri" w:hAnsi="Calibri" w:cs="Calibri"/>
          <w:szCs w:val="24"/>
        </w:rPr>
        <w:t>”.</w:t>
      </w:r>
    </w:p>
    <w:p w14:paraId="43ADCF09" w14:textId="37FE1CBB" w:rsidR="00694EA1" w:rsidRPr="009A55D6" w:rsidRDefault="00694EA1" w:rsidP="009A55D6">
      <w:pPr>
        <w:pStyle w:val="Akapitzlist"/>
        <w:numPr>
          <w:ilvl w:val="0"/>
          <w:numId w:val="27"/>
        </w:numPr>
        <w:spacing w:line="259" w:lineRule="auto"/>
        <w:ind w:left="1276"/>
        <w:rPr>
          <w:rFonts w:ascii="Calibri" w:hAnsi="Calibri" w:cs="Calibri"/>
          <w:szCs w:val="24"/>
        </w:rPr>
      </w:pPr>
      <w:r w:rsidRPr="009A55D6">
        <w:rPr>
          <w:rFonts w:ascii="Calibri" w:hAnsi="Calibri" w:cs="Calibri"/>
          <w:szCs w:val="24"/>
        </w:rPr>
        <w:t>Zarzadzanie dostępem</w:t>
      </w:r>
      <w:r w:rsidR="009A55D6">
        <w:rPr>
          <w:rFonts w:ascii="Calibri" w:hAnsi="Calibri" w:cs="Calibri"/>
          <w:szCs w:val="24"/>
        </w:rPr>
        <w:t xml:space="preserve">: </w:t>
      </w:r>
    </w:p>
    <w:p w14:paraId="7DEC63C8" w14:textId="77777777" w:rsidR="00694EA1" w:rsidRPr="00694EA1" w:rsidRDefault="00694EA1" w:rsidP="009A55D6">
      <w:pPr>
        <w:pStyle w:val="Akapitzlist"/>
        <w:numPr>
          <w:ilvl w:val="0"/>
          <w:numId w:val="20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>Zleceniobiorca musi udostępnić zakres adresów IP (adresacja lokalna) i listę usług/portów, które mają być dostępne.</w:t>
      </w:r>
    </w:p>
    <w:p w14:paraId="70BCF5DA" w14:textId="77777777" w:rsidR="00694EA1" w:rsidRPr="00694EA1" w:rsidRDefault="00694EA1" w:rsidP="009A55D6">
      <w:pPr>
        <w:pStyle w:val="Akapitzlist"/>
        <w:numPr>
          <w:ilvl w:val="0"/>
          <w:numId w:val="20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>Ruch powinien być ściśle ograniczony do wybranych portów i adresów.</w:t>
      </w:r>
    </w:p>
    <w:p w14:paraId="1C309253" w14:textId="77777777" w:rsidR="00694EA1" w:rsidRPr="00694EA1" w:rsidRDefault="00694EA1" w:rsidP="009A55D6">
      <w:pPr>
        <w:pStyle w:val="Akapitzlist"/>
        <w:numPr>
          <w:ilvl w:val="0"/>
          <w:numId w:val="20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>Zakazuje się routowania ruchu internetowego przez tunel.</w:t>
      </w:r>
    </w:p>
    <w:p w14:paraId="1DB824E2" w14:textId="44CADBF5" w:rsidR="00694EA1" w:rsidRPr="009A55D6" w:rsidRDefault="00694EA1" w:rsidP="009A55D6">
      <w:pPr>
        <w:pStyle w:val="Akapitzlist"/>
        <w:numPr>
          <w:ilvl w:val="0"/>
          <w:numId w:val="27"/>
        </w:numPr>
        <w:spacing w:line="259" w:lineRule="auto"/>
        <w:ind w:left="1276"/>
        <w:rPr>
          <w:rFonts w:ascii="Calibri" w:hAnsi="Calibri" w:cs="Calibri"/>
          <w:szCs w:val="24"/>
        </w:rPr>
      </w:pPr>
      <w:r w:rsidRPr="009A55D6">
        <w:rPr>
          <w:rFonts w:ascii="Calibri" w:hAnsi="Calibri" w:cs="Calibri"/>
          <w:szCs w:val="24"/>
        </w:rPr>
        <w:t>Zabezpieczenia organizacyjne</w:t>
      </w:r>
      <w:r w:rsidR="009A55D6">
        <w:rPr>
          <w:rFonts w:ascii="Calibri" w:hAnsi="Calibri" w:cs="Calibri"/>
          <w:szCs w:val="24"/>
        </w:rPr>
        <w:t>:</w:t>
      </w:r>
    </w:p>
    <w:p w14:paraId="3C6BACEC" w14:textId="77777777" w:rsidR="00694EA1" w:rsidRPr="00694EA1" w:rsidRDefault="00694EA1" w:rsidP="009A55D6">
      <w:pPr>
        <w:pStyle w:val="Akapitzlist"/>
        <w:numPr>
          <w:ilvl w:val="0"/>
          <w:numId w:val="21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>wymagane jest zawarcie umowy powierzenia przetwarzania danych (art. 28 RODO).</w:t>
      </w:r>
    </w:p>
    <w:p w14:paraId="09D5A3C4" w14:textId="77777777" w:rsidR="00694EA1" w:rsidRPr="00694EA1" w:rsidRDefault="00694EA1" w:rsidP="009A55D6">
      <w:pPr>
        <w:pStyle w:val="Akapitzlist"/>
        <w:numPr>
          <w:ilvl w:val="0"/>
          <w:numId w:val="21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694EA1">
        <w:rPr>
          <w:rFonts w:ascii="Calibri" w:hAnsi="Calibri" w:cs="Calibri"/>
          <w:szCs w:val="24"/>
        </w:rPr>
        <w:t>dokumentacja powinna zawierać opis środków technicznych i organizacyjnych, w tym związanych z infrastrukturą VPN zleceniobiorcy.</w:t>
      </w:r>
    </w:p>
    <w:p w14:paraId="305A8BDA" w14:textId="44717FD0" w:rsidR="00694EA1" w:rsidRPr="009A55D6" w:rsidRDefault="00694EA1" w:rsidP="00694EA1">
      <w:pPr>
        <w:pStyle w:val="Akapitzlist"/>
        <w:numPr>
          <w:ilvl w:val="0"/>
          <w:numId w:val="21"/>
        </w:numPr>
        <w:spacing w:line="259" w:lineRule="auto"/>
        <w:ind w:left="1843"/>
        <w:rPr>
          <w:rFonts w:ascii="Calibri" w:hAnsi="Calibri" w:cs="Calibri"/>
          <w:szCs w:val="24"/>
        </w:rPr>
      </w:pPr>
      <w:r w:rsidRPr="009A55D6">
        <w:rPr>
          <w:rFonts w:ascii="Calibri" w:hAnsi="Calibri" w:cs="Calibri"/>
          <w:szCs w:val="24"/>
        </w:rPr>
        <w:t>Zleceniobiorca musi posiadać:</w:t>
      </w:r>
      <w:r w:rsidR="009A55D6" w:rsidRPr="009A55D6">
        <w:rPr>
          <w:rFonts w:ascii="Calibri" w:hAnsi="Calibri" w:cs="Calibri"/>
          <w:szCs w:val="24"/>
        </w:rPr>
        <w:t xml:space="preserve"> </w:t>
      </w:r>
      <w:r w:rsidRPr="009A55D6">
        <w:rPr>
          <w:rFonts w:ascii="Calibri" w:hAnsi="Calibri" w:cs="Calibri"/>
          <w:szCs w:val="24"/>
        </w:rPr>
        <w:t>Politykę bezpieczeństwa informacji</w:t>
      </w:r>
      <w:r w:rsidR="009A55D6" w:rsidRPr="009A55D6">
        <w:rPr>
          <w:rFonts w:ascii="Calibri" w:hAnsi="Calibri" w:cs="Calibri"/>
          <w:szCs w:val="24"/>
        </w:rPr>
        <w:t xml:space="preserve">; </w:t>
      </w:r>
      <w:r w:rsidRPr="009A55D6">
        <w:rPr>
          <w:rFonts w:ascii="Calibri" w:hAnsi="Calibri" w:cs="Calibri"/>
          <w:szCs w:val="24"/>
        </w:rPr>
        <w:t>Rejestr incydentów i plan reakcji</w:t>
      </w:r>
      <w:r w:rsidR="009A55D6" w:rsidRPr="009A55D6">
        <w:rPr>
          <w:rFonts w:ascii="Calibri" w:hAnsi="Calibri" w:cs="Calibri"/>
          <w:szCs w:val="24"/>
        </w:rPr>
        <w:t xml:space="preserve">; </w:t>
      </w:r>
      <w:r w:rsidRPr="009A55D6">
        <w:rPr>
          <w:rFonts w:ascii="Calibri" w:hAnsi="Calibri" w:cs="Calibri"/>
          <w:szCs w:val="24"/>
        </w:rPr>
        <w:t>Procedury zarządzania kontami i dostępem do systemu wymiany danych.</w:t>
      </w:r>
    </w:p>
    <w:p w14:paraId="26F496B4" w14:textId="77777777" w:rsidR="00694EA1" w:rsidRPr="00694EA1" w:rsidRDefault="00694EA1" w:rsidP="00646151">
      <w:pPr>
        <w:pStyle w:val="Bezodstpw"/>
        <w:ind w:left="426" w:right="848"/>
        <w:rPr>
          <w:rStyle w:val="Pogrubienie"/>
          <w:rFonts w:ascii="Calibri" w:hAnsi="Calibri" w:cs="Calibri"/>
          <w:b w:val="0"/>
          <w:bCs w:val="0"/>
          <w:szCs w:val="24"/>
        </w:rPr>
      </w:pPr>
    </w:p>
    <w:p w14:paraId="491510FE" w14:textId="77777777" w:rsidR="001403C3" w:rsidRPr="00694EA1" w:rsidRDefault="001403C3" w:rsidP="001403C3">
      <w:pPr>
        <w:pStyle w:val="Bezodstpw"/>
        <w:rPr>
          <w:rStyle w:val="Pogrubienie"/>
          <w:rFonts w:ascii="Calibri" w:hAnsi="Calibri" w:cs="Calibri"/>
          <w:b w:val="0"/>
          <w:bCs w:val="0"/>
          <w:szCs w:val="24"/>
        </w:rPr>
      </w:pPr>
    </w:p>
    <w:p w14:paraId="7725CCB2" w14:textId="77777777" w:rsidR="001403C3" w:rsidRPr="00694EA1" w:rsidRDefault="001403C3" w:rsidP="001403C3">
      <w:pPr>
        <w:pStyle w:val="Bezodstpw"/>
        <w:rPr>
          <w:rStyle w:val="Pogrubienie"/>
          <w:rFonts w:ascii="Calibri" w:hAnsi="Calibri" w:cs="Calibri"/>
          <w:b w:val="0"/>
          <w:bCs w:val="0"/>
          <w:szCs w:val="24"/>
        </w:rPr>
      </w:pPr>
    </w:p>
    <w:p w14:paraId="470E080F" w14:textId="1AFBCDDB" w:rsidR="001403C3" w:rsidRPr="00694EA1" w:rsidRDefault="001403C3" w:rsidP="001403C3">
      <w:pPr>
        <w:pStyle w:val="Bezodstpw"/>
        <w:rPr>
          <w:rStyle w:val="Pogrubienie"/>
          <w:rFonts w:ascii="Calibri" w:hAnsi="Calibri" w:cs="Calibri"/>
          <w:b w:val="0"/>
          <w:bCs w:val="0"/>
          <w:szCs w:val="24"/>
        </w:rPr>
      </w:pP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...........................…..............</w:t>
      </w:r>
    </w:p>
    <w:p w14:paraId="4FD00E59" w14:textId="09167D5C" w:rsidR="001403C3" w:rsidRPr="00694EA1" w:rsidRDefault="001403C3" w:rsidP="001403C3">
      <w:pPr>
        <w:pStyle w:val="Bezodstpw"/>
        <w:rPr>
          <w:rFonts w:ascii="Calibri" w:hAnsi="Calibri" w:cs="Calibri"/>
          <w:szCs w:val="24"/>
        </w:rPr>
      </w:pP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data</w:t>
      </w:r>
      <w:r w:rsidR="00DB1182" w:rsidRPr="00694EA1">
        <w:rPr>
          <w:rStyle w:val="Pogrubienie"/>
          <w:rFonts w:ascii="Calibri" w:hAnsi="Calibri" w:cs="Calibri"/>
          <w:b w:val="0"/>
          <w:bCs w:val="0"/>
          <w:szCs w:val="24"/>
        </w:rPr>
        <w:t xml:space="preserve"> i </w:t>
      </w:r>
      <w:r w:rsidRPr="00694EA1">
        <w:rPr>
          <w:rStyle w:val="Pogrubienie"/>
          <w:rFonts w:ascii="Calibri" w:hAnsi="Calibri" w:cs="Calibri"/>
          <w:b w:val="0"/>
          <w:bCs w:val="0"/>
          <w:szCs w:val="24"/>
        </w:rPr>
        <w:t>podpis Oferenta</w:t>
      </w:r>
    </w:p>
    <w:sectPr w:rsidR="001403C3" w:rsidRPr="00694EA1" w:rsidSect="001E3BDD">
      <w:pgSz w:w="11906" w:h="16838"/>
      <w:pgMar w:top="993" w:right="991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30D1" w14:textId="77777777" w:rsidR="00E80457" w:rsidRDefault="00E80457" w:rsidP="00262185">
      <w:pPr>
        <w:spacing w:after="0" w:line="240" w:lineRule="auto"/>
      </w:pPr>
      <w:r>
        <w:separator/>
      </w:r>
    </w:p>
  </w:endnote>
  <w:endnote w:type="continuationSeparator" w:id="0">
    <w:p w14:paraId="13186E3C" w14:textId="77777777" w:rsidR="00E80457" w:rsidRDefault="00E80457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13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5AEB3F" w14:textId="4D335A5A" w:rsidR="00647912" w:rsidRDefault="006479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F94BD5" w14:textId="77777777" w:rsidR="00647912" w:rsidRDefault="00647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407A" w14:textId="77777777" w:rsidR="00E80457" w:rsidRDefault="00E80457" w:rsidP="00262185">
      <w:pPr>
        <w:spacing w:after="0" w:line="240" w:lineRule="auto"/>
      </w:pPr>
      <w:r>
        <w:separator/>
      </w:r>
    </w:p>
  </w:footnote>
  <w:footnote w:type="continuationSeparator" w:id="0">
    <w:p w14:paraId="4262F93B" w14:textId="77777777" w:rsidR="00E80457" w:rsidRDefault="00E80457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21"/>
    <w:multiLevelType w:val="multilevel"/>
    <w:tmpl w:val="108E8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4E4A"/>
    <w:multiLevelType w:val="hybridMultilevel"/>
    <w:tmpl w:val="819CC190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022"/>
    <w:multiLevelType w:val="hybridMultilevel"/>
    <w:tmpl w:val="2EBC5A3E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3F3A"/>
    <w:multiLevelType w:val="hybridMultilevel"/>
    <w:tmpl w:val="85A4827E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0C04176"/>
    <w:multiLevelType w:val="hybridMultilevel"/>
    <w:tmpl w:val="02D618E6"/>
    <w:lvl w:ilvl="0" w:tplc="86863B2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8" w15:restartNumberingAfterBreak="0">
    <w:nsid w:val="1DD7686F"/>
    <w:multiLevelType w:val="hybridMultilevel"/>
    <w:tmpl w:val="62302F00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C57"/>
    <w:multiLevelType w:val="hybridMultilevel"/>
    <w:tmpl w:val="E25ECDA4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84DEE"/>
    <w:multiLevelType w:val="hybridMultilevel"/>
    <w:tmpl w:val="DD8AA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5597"/>
    <w:multiLevelType w:val="hybridMultilevel"/>
    <w:tmpl w:val="879CE8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96C3D1E"/>
    <w:multiLevelType w:val="hybridMultilevel"/>
    <w:tmpl w:val="C4E64702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A06608D"/>
    <w:multiLevelType w:val="multilevel"/>
    <w:tmpl w:val="ACA60020"/>
    <w:styleLink w:val="WWNum5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B230741"/>
    <w:multiLevelType w:val="hybridMultilevel"/>
    <w:tmpl w:val="05D88B2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023471"/>
    <w:multiLevelType w:val="multilevel"/>
    <w:tmpl w:val="5DD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DA09AC"/>
    <w:multiLevelType w:val="multilevel"/>
    <w:tmpl w:val="3F446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B04F20"/>
    <w:multiLevelType w:val="multilevel"/>
    <w:tmpl w:val="9436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0D0F3F"/>
    <w:multiLevelType w:val="hybridMultilevel"/>
    <w:tmpl w:val="35046554"/>
    <w:lvl w:ilvl="0" w:tplc="D65060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A29B5"/>
    <w:multiLevelType w:val="hybridMultilevel"/>
    <w:tmpl w:val="6A5477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37AB"/>
    <w:multiLevelType w:val="hybridMultilevel"/>
    <w:tmpl w:val="A680028A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63348"/>
    <w:multiLevelType w:val="hybridMultilevel"/>
    <w:tmpl w:val="38961C8A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3251D6E"/>
    <w:multiLevelType w:val="hybridMultilevel"/>
    <w:tmpl w:val="76F4D5CA"/>
    <w:lvl w:ilvl="0" w:tplc="3EE443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321D"/>
    <w:multiLevelType w:val="hybridMultilevel"/>
    <w:tmpl w:val="644419C4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A12C6"/>
    <w:multiLevelType w:val="hybridMultilevel"/>
    <w:tmpl w:val="C914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73F1F"/>
    <w:multiLevelType w:val="multilevel"/>
    <w:tmpl w:val="7662269E"/>
    <w:lvl w:ilvl="0">
      <w:start w:val="1"/>
      <w:numFmt w:val="upperRoman"/>
      <w:lvlText w:val="%1."/>
      <w:lvlJc w:val="righ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0903034">
    <w:abstractNumId w:val="25"/>
  </w:num>
  <w:num w:numId="2" w16cid:durableId="278993491">
    <w:abstractNumId w:val="6"/>
  </w:num>
  <w:num w:numId="3" w16cid:durableId="75635137">
    <w:abstractNumId w:val="12"/>
  </w:num>
  <w:num w:numId="4" w16cid:durableId="1278442741">
    <w:abstractNumId w:val="5"/>
  </w:num>
  <w:num w:numId="5" w16cid:durableId="1889876045">
    <w:abstractNumId w:val="7"/>
  </w:num>
  <w:num w:numId="6" w16cid:durableId="338386614">
    <w:abstractNumId w:val="14"/>
  </w:num>
  <w:num w:numId="7" w16cid:durableId="1348949624">
    <w:abstractNumId w:val="14"/>
    <w:lvlOverride w:ilvl="0">
      <w:startOverride w:val="1"/>
    </w:lvlOverride>
  </w:num>
  <w:num w:numId="8" w16cid:durableId="445735709">
    <w:abstractNumId w:val="11"/>
  </w:num>
  <w:num w:numId="9" w16cid:durableId="1826358881">
    <w:abstractNumId w:val="27"/>
  </w:num>
  <w:num w:numId="10" w16cid:durableId="614168474">
    <w:abstractNumId w:val="9"/>
  </w:num>
  <w:num w:numId="11" w16cid:durableId="950472136">
    <w:abstractNumId w:val="24"/>
  </w:num>
  <w:num w:numId="12" w16cid:durableId="1730886550">
    <w:abstractNumId w:val="8"/>
  </w:num>
  <w:num w:numId="13" w16cid:durableId="1541431552">
    <w:abstractNumId w:val="1"/>
  </w:num>
  <w:num w:numId="14" w16cid:durableId="716664328">
    <w:abstractNumId w:val="2"/>
  </w:num>
  <w:num w:numId="15" w16cid:durableId="1198085696">
    <w:abstractNumId w:val="18"/>
  </w:num>
  <w:num w:numId="16" w16cid:durableId="1916548010">
    <w:abstractNumId w:val="21"/>
  </w:num>
  <w:num w:numId="17" w16cid:durableId="1661812179">
    <w:abstractNumId w:val="0"/>
  </w:num>
  <w:num w:numId="18" w16cid:durableId="2139258688">
    <w:abstractNumId w:val="4"/>
  </w:num>
  <w:num w:numId="19" w16cid:durableId="523131726">
    <w:abstractNumId w:val="3"/>
  </w:num>
  <w:num w:numId="20" w16cid:durableId="462313895">
    <w:abstractNumId w:val="13"/>
  </w:num>
  <w:num w:numId="21" w16cid:durableId="672874471">
    <w:abstractNumId w:val="22"/>
  </w:num>
  <w:num w:numId="22" w16cid:durableId="1774671948">
    <w:abstractNumId w:val="15"/>
  </w:num>
  <w:num w:numId="23" w16cid:durableId="2073648715">
    <w:abstractNumId w:val="20"/>
  </w:num>
  <w:num w:numId="24" w16cid:durableId="978799977">
    <w:abstractNumId w:val="17"/>
  </w:num>
  <w:num w:numId="25" w16cid:durableId="568346662">
    <w:abstractNumId w:val="16"/>
  </w:num>
  <w:num w:numId="26" w16cid:durableId="987130911">
    <w:abstractNumId w:val="10"/>
  </w:num>
  <w:num w:numId="27" w16cid:durableId="1250695807">
    <w:abstractNumId w:val="23"/>
  </w:num>
  <w:num w:numId="28" w16cid:durableId="1488740935">
    <w:abstractNumId w:val="26"/>
  </w:num>
  <w:num w:numId="29" w16cid:durableId="2006779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1DD8"/>
    <w:rsid w:val="00073F98"/>
    <w:rsid w:val="000E7E67"/>
    <w:rsid w:val="00125F2A"/>
    <w:rsid w:val="001403C3"/>
    <w:rsid w:val="00155511"/>
    <w:rsid w:val="00161830"/>
    <w:rsid w:val="00194EC5"/>
    <w:rsid w:val="001C30C9"/>
    <w:rsid w:val="001E3BDD"/>
    <w:rsid w:val="002020AE"/>
    <w:rsid w:val="00226956"/>
    <w:rsid w:val="00262185"/>
    <w:rsid w:val="002A4022"/>
    <w:rsid w:val="0033690C"/>
    <w:rsid w:val="0034569F"/>
    <w:rsid w:val="0034752F"/>
    <w:rsid w:val="00362D09"/>
    <w:rsid w:val="003F57F9"/>
    <w:rsid w:val="004006BF"/>
    <w:rsid w:val="0043411D"/>
    <w:rsid w:val="0043424A"/>
    <w:rsid w:val="004C18EC"/>
    <w:rsid w:val="00504722"/>
    <w:rsid w:val="005248AA"/>
    <w:rsid w:val="0057013C"/>
    <w:rsid w:val="005B0107"/>
    <w:rsid w:val="005F7A6B"/>
    <w:rsid w:val="006029C0"/>
    <w:rsid w:val="006066B0"/>
    <w:rsid w:val="00646151"/>
    <w:rsid w:val="00647912"/>
    <w:rsid w:val="00694EA1"/>
    <w:rsid w:val="007A72FC"/>
    <w:rsid w:val="007B0E98"/>
    <w:rsid w:val="0081631E"/>
    <w:rsid w:val="008762A5"/>
    <w:rsid w:val="008A5FAB"/>
    <w:rsid w:val="009A55D6"/>
    <w:rsid w:val="00A869E7"/>
    <w:rsid w:val="00B24778"/>
    <w:rsid w:val="00B478E8"/>
    <w:rsid w:val="00BB573A"/>
    <w:rsid w:val="00BC6076"/>
    <w:rsid w:val="00BD0550"/>
    <w:rsid w:val="00C70771"/>
    <w:rsid w:val="00C90E6B"/>
    <w:rsid w:val="00C95058"/>
    <w:rsid w:val="00CA3004"/>
    <w:rsid w:val="00CA75FA"/>
    <w:rsid w:val="00D130EE"/>
    <w:rsid w:val="00D63EC1"/>
    <w:rsid w:val="00DB1182"/>
    <w:rsid w:val="00DC0252"/>
    <w:rsid w:val="00DD2DB2"/>
    <w:rsid w:val="00DF2F69"/>
    <w:rsid w:val="00E05E84"/>
    <w:rsid w:val="00E148BF"/>
    <w:rsid w:val="00E14C58"/>
    <w:rsid w:val="00E80457"/>
    <w:rsid w:val="00EF4F61"/>
    <w:rsid w:val="00F17324"/>
    <w:rsid w:val="00F36547"/>
    <w:rsid w:val="00F52D2E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13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0E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Standard">
    <w:name w:val="Standard"/>
    <w:rsid w:val="00D130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D130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30EE"/>
    <w:pPr>
      <w:spacing w:after="140" w:line="276" w:lineRule="auto"/>
    </w:pPr>
  </w:style>
  <w:style w:type="paragraph" w:styleId="Lista">
    <w:name w:val="List"/>
    <w:basedOn w:val="Textbody"/>
    <w:rsid w:val="00D130EE"/>
  </w:style>
  <w:style w:type="paragraph" w:styleId="Legenda">
    <w:name w:val="caption"/>
    <w:basedOn w:val="Standard"/>
    <w:rsid w:val="00D130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30EE"/>
    <w:pPr>
      <w:suppressLineNumbers/>
    </w:pPr>
  </w:style>
  <w:style w:type="paragraph" w:customStyle="1" w:styleId="Footnote">
    <w:name w:val="Footnote"/>
    <w:basedOn w:val="Standard"/>
    <w:rsid w:val="00D130EE"/>
  </w:style>
  <w:style w:type="paragraph" w:customStyle="1" w:styleId="TableContents">
    <w:name w:val="Table Contents"/>
    <w:basedOn w:val="Standard"/>
    <w:rsid w:val="00D130EE"/>
    <w:pPr>
      <w:widowControl w:val="0"/>
      <w:suppressLineNumbers/>
    </w:pPr>
  </w:style>
  <w:style w:type="paragraph" w:customStyle="1" w:styleId="TableHeading">
    <w:name w:val="Table Heading"/>
    <w:basedOn w:val="TableContents"/>
    <w:rsid w:val="00D130EE"/>
    <w:pPr>
      <w:jc w:val="center"/>
    </w:pPr>
    <w:rPr>
      <w:b/>
      <w:bCs/>
    </w:rPr>
  </w:style>
  <w:style w:type="paragraph" w:customStyle="1" w:styleId="Comment">
    <w:name w:val="Comment"/>
    <w:basedOn w:val="Standard"/>
    <w:rsid w:val="00D130EE"/>
    <w:pPr>
      <w:spacing w:before="56"/>
      <w:ind w:left="56" w:right="56"/>
    </w:pPr>
    <w:rPr>
      <w:sz w:val="20"/>
      <w:szCs w:val="20"/>
    </w:rPr>
  </w:style>
  <w:style w:type="character" w:customStyle="1" w:styleId="ListLabel38">
    <w:name w:val="ListLabel 38"/>
    <w:rsid w:val="00D130EE"/>
  </w:style>
  <w:style w:type="character" w:customStyle="1" w:styleId="ListLabel39">
    <w:name w:val="ListLabel 39"/>
    <w:rsid w:val="00D130EE"/>
  </w:style>
  <w:style w:type="character" w:customStyle="1" w:styleId="ListLabel40">
    <w:name w:val="ListLabel 40"/>
    <w:rsid w:val="00D130EE"/>
  </w:style>
  <w:style w:type="character" w:customStyle="1" w:styleId="ListLabel41">
    <w:name w:val="ListLabel 41"/>
    <w:rsid w:val="00D130EE"/>
  </w:style>
  <w:style w:type="character" w:customStyle="1" w:styleId="ListLabel42">
    <w:name w:val="ListLabel 42"/>
    <w:rsid w:val="00D130EE"/>
  </w:style>
  <w:style w:type="character" w:customStyle="1" w:styleId="ListLabel43">
    <w:name w:val="ListLabel 43"/>
    <w:rsid w:val="00D130EE"/>
  </w:style>
  <w:style w:type="character" w:customStyle="1" w:styleId="ListLabel44">
    <w:name w:val="ListLabel 44"/>
    <w:rsid w:val="00D130EE"/>
  </w:style>
  <w:style w:type="character" w:customStyle="1" w:styleId="ListLabel45">
    <w:name w:val="ListLabel 45"/>
    <w:rsid w:val="00D130EE"/>
  </w:style>
  <w:style w:type="character" w:customStyle="1" w:styleId="ListLabel46">
    <w:name w:val="ListLabel 46"/>
    <w:rsid w:val="00D130EE"/>
  </w:style>
  <w:style w:type="character" w:customStyle="1" w:styleId="NumberingSymbols">
    <w:name w:val="Numbering Symbols"/>
    <w:rsid w:val="00D130EE"/>
  </w:style>
  <w:style w:type="numbering" w:customStyle="1" w:styleId="WWNum5a">
    <w:name w:val="WWNum5a"/>
    <w:basedOn w:val="Bezlisty"/>
    <w:rsid w:val="00D130EE"/>
    <w:pPr>
      <w:numPr>
        <w:numId w:val="6"/>
      </w:numPr>
    </w:pPr>
  </w:style>
  <w:style w:type="character" w:customStyle="1" w:styleId="NagwekZnak1">
    <w:name w:val="Nagłówek Znak1"/>
    <w:basedOn w:val="Domylnaczcionkaakapitu"/>
    <w:uiPriority w:val="99"/>
    <w:semiHidden/>
    <w:rsid w:val="00D130EE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8B6A-C67F-41C5-9AD8-DEA72A04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3</cp:revision>
  <cp:lastPrinted>2025-06-10T05:18:00Z</cp:lastPrinted>
  <dcterms:created xsi:type="dcterms:W3CDTF">2025-06-10T05:18:00Z</dcterms:created>
  <dcterms:modified xsi:type="dcterms:W3CDTF">2025-06-10T05:23:00Z</dcterms:modified>
</cp:coreProperties>
</file>